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4F573" w14:textId="77777777" w:rsidR="00E91B70" w:rsidRDefault="00E91B70">
      <w:bookmarkStart w:id="0" w:name="_Toc526153388"/>
      <w:bookmarkStart w:id="1" w:name="_Toc526153317"/>
      <w:bookmarkStart w:id="2" w:name="_Toc526153361"/>
      <w:bookmarkStart w:id="3" w:name="_Toc526153318"/>
      <w:bookmarkStart w:id="4" w:name="_Toc526153324"/>
      <w:bookmarkStart w:id="5" w:name="_Toc526153323"/>
      <w:bookmarkStart w:id="6" w:name="_Toc526153320"/>
      <w:bookmarkStart w:id="7" w:name="_Toc526153326"/>
      <w:bookmarkStart w:id="8" w:name="_Toc526153340"/>
      <w:bookmarkEnd w:id="0"/>
      <w:bookmarkEnd w:id="1"/>
      <w:bookmarkEnd w:id="2"/>
    </w:p>
    <w:p w14:paraId="7A19254D" w14:textId="77777777" w:rsidR="00E91B70" w:rsidRDefault="0050236C">
      <w:pPr>
        <w:pStyle w:val="RedaliaNormal"/>
      </w:pPr>
      <w:r>
        <w:rPr>
          <w:noProof/>
        </w:rPr>
        <w:drawing>
          <wp:inline distT="0" distB="0" distL="0" distR="0" wp14:anchorId="5EBD917D" wp14:editId="29834433">
            <wp:extent cx="3225600" cy="1149120"/>
            <wp:effectExtent l="0" t="0" r="0" b="0"/>
            <wp:docPr id="444006260"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3225600" cy="1149120"/>
                    </a:xfrm>
                    <a:prstGeom prst="rect">
                      <a:avLst/>
                    </a:prstGeom>
                    <a:solidFill>
                      <a:srgbClr val="5B9BD5"/>
                    </a:solidFill>
                    <a:ln cap="flat">
                      <a:noFill/>
                    </a:ln>
                  </pic:spPr>
                </pic:pic>
              </a:graphicData>
            </a:graphic>
          </wp:inline>
        </w:drawing>
      </w:r>
    </w:p>
    <w:p w14:paraId="31B8E3CC" w14:textId="77777777" w:rsidR="00E91B70" w:rsidRDefault="00E91B70">
      <w:pPr>
        <w:pStyle w:val="RedaliaNormal"/>
      </w:pPr>
    </w:p>
    <w:p w14:paraId="1D07E772" w14:textId="77777777" w:rsidR="00E91B70" w:rsidRDefault="0050236C">
      <w:pPr>
        <w:pStyle w:val="RedaliaNormal"/>
      </w:pPr>
      <w:r>
        <w:t>Opération : Travaux de remplacement de menuiseries extérieures à Biscarrosse</w:t>
      </w:r>
    </w:p>
    <w:p w14:paraId="5346CE30" w14:textId="77777777" w:rsidR="00E91B70" w:rsidRDefault="00E91B70">
      <w:pPr>
        <w:pStyle w:val="RedaliaNormal"/>
        <w:rPr>
          <w:sz w:val="40"/>
          <w:szCs w:val="40"/>
        </w:rPr>
      </w:pPr>
    </w:p>
    <w:p w14:paraId="5E60F61B" w14:textId="77777777" w:rsidR="00E91B70" w:rsidRDefault="00E91B70">
      <w:pPr>
        <w:pStyle w:val="RedaliaNormal"/>
        <w:rPr>
          <w:sz w:val="40"/>
          <w:szCs w:val="40"/>
        </w:rPr>
      </w:pPr>
    </w:p>
    <w:p w14:paraId="48CE4E83" w14:textId="77777777" w:rsidR="00E91B70" w:rsidRDefault="0050236C">
      <w:pPr>
        <w:pStyle w:val="RedaliaTitredocument"/>
      </w:pPr>
      <w:r>
        <w:t>MARCHE DE TRAVAUX</w:t>
      </w:r>
    </w:p>
    <w:p w14:paraId="2DA6D63A" w14:textId="77777777" w:rsidR="00E91B70" w:rsidRDefault="00E91B70">
      <w:pPr>
        <w:pStyle w:val="RedaliaNormal"/>
      </w:pPr>
    </w:p>
    <w:p w14:paraId="7475325A" w14:textId="77777777" w:rsidR="00E91B70" w:rsidRDefault="0050236C">
      <w:pPr>
        <w:pStyle w:val="RedaliaSoustitredocument"/>
        <w:rPr>
          <w:b/>
          <w:sz w:val="40"/>
          <w:szCs w:val="40"/>
        </w:rPr>
      </w:pPr>
      <w:r>
        <w:rPr>
          <w:b/>
          <w:sz w:val="40"/>
          <w:szCs w:val="40"/>
        </w:rPr>
        <w:t>Règlement de la consultation</w:t>
      </w:r>
    </w:p>
    <w:p w14:paraId="4F19AB3E" w14:textId="77777777" w:rsidR="00E91B70" w:rsidRDefault="00E91B70">
      <w:pPr>
        <w:pStyle w:val="RedaliaNormal"/>
      </w:pPr>
    </w:p>
    <w:p w14:paraId="26CB4FCD" w14:textId="77777777" w:rsidR="00E91B70" w:rsidRDefault="0050236C">
      <w:pPr>
        <w:pStyle w:val="RdaliaTitreparagraphe"/>
      </w:pPr>
      <w:r>
        <w:t>Maître d’ouvrage</w:t>
      </w:r>
    </w:p>
    <w:p w14:paraId="60C142FD" w14:textId="77777777" w:rsidR="00E91B70" w:rsidRDefault="0050236C">
      <w:pPr>
        <w:pStyle w:val="RedaliaNormal"/>
      </w:pPr>
      <w:r>
        <w:t>XL HABITAT</w:t>
      </w:r>
    </w:p>
    <w:p w14:paraId="7133C3BE" w14:textId="77777777" w:rsidR="00E91B70" w:rsidRDefault="0050236C">
      <w:pPr>
        <w:pStyle w:val="RedaliaNormal"/>
      </w:pPr>
      <w:r>
        <w:t xml:space="preserve">Adresse : 953 Avenue Colonel Rozanoff   40011 MONT DE MARSAN  </w:t>
      </w:r>
    </w:p>
    <w:p w14:paraId="69E93613" w14:textId="77777777" w:rsidR="00E91B70" w:rsidRDefault="0050236C">
      <w:pPr>
        <w:pStyle w:val="RedaliaNormal"/>
      </w:pPr>
      <w:r>
        <w:t>Téléphone : 05 58 05 31 31</w:t>
      </w:r>
    </w:p>
    <w:p w14:paraId="32CC6007" w14:textId="77777777" w:rsidR="00E91B70" w:rsidRDefault="00E91B70">
      <w:pPr>
        <w:pStyle w:val="RedaliaNormal"/>
      </w:pPr>
    </w:p>
    <w:p w14:paraId="658CC050" w14:textId="77777777" w:rsidR="00E91B70" w:rsidRDefault="0050236C">
      <w:pPr>
        <w:pStyle w:val="RdaliaTitreparagraphe"/>
      </w:pPr>
      <w:r>
        <w:t>Objet de la consultation</w:t>
      </w:r>
    </w:p>
    <w:p w14:paraId="63BA99BF" w14:textId="77777777" w:rsidR="00E91B70" w:rsidRDefault="0050236C">
      <w:pPr>
        <w:pStyle w:val="RedaliaNormal"/>
      </w:pPr>
      <w:r>
        <w:t>Travaux de remplacement de menuiseries extérieures à Biscarrosse</w:t>
      </w:r>
    </w:p>
    <w:p w14:paraId="5C8A4B17" w14:textId="07EC7D3C" w:rsidR="00E91B70" w:rsidRPr="00274139" w:rsidRDefault="0050236C" w:rsidP="00274139">
      <w:pPr>
        <w:pStyle w:val="RdaliaTitredestableaux"/>
        <w:jc w:val="left"/>
      </w:pPr>
      <w:r w:rsidRPr="00274139">
        <w:rPr>
          <w:b w:val="0"/>
          <w:bCs/>
        </w:rPr>
        <w:t>Date limite de remise des offres</w:t>
      </w:r>
      <w:r w:rsidR="00274139" w:rsidRPr="00274139">
        <w:rPr>
          <w:b w:val="0"/>
          <w:bCs/>
        </w:rPr>
        <w:t xml:space="preserve"> : Le</w:t>
      </w:r>
      <w:r>
        <w:rPr>
          <w:b w:val="0"/>
          <w:bCs/>
        </w:rPr>
        <w:t xml:space="preserve"> jeudi 26 novembre 2026 à 12h00</w:t>
      </w:r>
    </w:p>
    <w:p w14:paraId="406F8DD1" w14:textId="77777777" w:rsidR="00E91B70" w:rsidRDefault="00E91B70"/>
    <w:p w14:paraId="12A06A50" w14:textId="77777777" w:rsidR="00E91B70" w:rsidRDefault="0050236C">
      <w:pPr>
        <w:pStyle w:val="RdaliaTitredossier"/>
        <w:pageBreakBefore/>
      </w:pPr>
      <w:r>
        <w:lastRenderedPageBreak/>
        <w:t>Sommaire</w:t>
      </w:r>
    </w:p>
    <w:p w14:paraId="2F1B3B4E" w14:textId="77777777" w:rsidR="00E91B70" w:rsidRDefault="00E91B70"/>
    <w:p w14:paraId="42BEFAAC" w14:textId="77777777" w:rsidR="00E91B70" w:rsidRDefault="0050236C">
      <w:pPr>
        <w:pStyle w:val="TM1"/>
      </w:pPr>
      <w:r>
        <w:rPr>
          <w:b w:val="0"/>
          <w:kern w:val="0"/>
          <w:sz w:val="22"/>
        </w:rPr>
        <w:fldChar w:fldCharType="begin"/>
      </w:r>
      <w:r>
        <w:instrText xml:space="preserve"> TOC \o "1-2" \u \h </w:instrText>
      </w:r>
      <w:r>
        <w:rPr>
          <w:b w:val="0"/>
          <w:kern w:val="0"/>
          <w:sz w:val="22"/>
        </w:rPr>
        <w:fldChar w:fldCharType="separate"/>
      </w:r>
      <w:hyperlink r:id="rId8" w:history="1">
        <w:r>
          <w:t xml:space="preserve"> Objet du </w:t>
        </w:r>
        <w:r>
          <w:t>marché</w:t>
        </w:r>
        <w:r>
          <w:tab/>
          <w:t>3</w:t>
        </w:r>
      </w:hyperlink>
    </w:p>
    <w:p w14:paraId="33A3826F" w14:textId="77777777" w:rsidR="00E91B70" w:rsidRDefault="0050236C">
      <w:pPr>
        <w:pStyle w:val="TM2"/>
      </w:pPr>
      <w:hyperlink r:id="rId9" w:history="1">
        <w:r>
          <w:t xml:space="preserve"> Forme</w:t>
        </w:r>
        <w:r>
          <w:tab/>
          <w:t>3</w:t>
        </w:r>
      </w:hyperlink>
    </w:p>
    <w:p w14:paraId="22CFB005" w14:textId="77777777" w:rsidR="00E91B70" w:rsidRDefault="0050236C">
      <w:pPr>
        <w:pStyle w:val="TM2"/>
      </w:pPr>
      <w:hyperlink r:id="rId10" w:history="1">
        <w:r>
          <w:t xml:space="preserve"> Durée du marché – Reconduction – Délais d’exécution</w:t>
        </w:r>
        <w:r>
          <w:tab/>
          <w:t>3</w:t>
        </w:r>
      </w:hyperlink>
    </w:p>
    <w:p w14:paraId="14A0858A" w14:textId="77777777" w:rsidR="00E91B70" w:rsidRDefault="0050236C">
      <w:pPr>
        <w:pStyle w:val="TM1"/>
      </w:pPr>
      <w:hyperlink r:id="rId11" w:history="1">
        <w:r>
          <w:t xml:space="preserve"> Organisation de la consultation</w:t>
        </w:r>
        <w:r>
          <w:tab/>
          <w:t>3</w:t>
        </w:r>
      </w:hyperlink>
    </w:p>
    <w:p w14:paraId="6D2FAAD0" w14:textId="77777777" w:rsidR="00E91B70" w:rsidRDefault="0050236C">
      <w:pPr>
        <w:pStyle w:val="TM2"/>
      </w:pPr>
      <w:hyperlink r:id="rId12" w:history="1">
        <w:r>
          <w:t xml:space="preserve"> Procédure de passation</w:t>
        </w:r>
        <w:r>
          <w:tab/>
          <w:t>3</w:t>
        </w:r>
      </w:hyperlink>
    </w:p>
    <w:p w14:paraId="58B8E9CB" w14:textId="77777777" w:rsidR="00E91B70" w:rsidRDefault="0050236C">
      <w:pPr>
        <w:pStyle w:val="TM2"/>
      </w:pPr>
      <w:hyperlink r:id="rId13" w:history="1">
        <w:r>
          <w:t xml:space="preserve"> Dispositions relatives aux groupements</w:t>
        </w:r>
        <w:r>
          <w:tab/>
          <w:t>3</w:t>
        </w:r>
      </w:hyperlink>
    </w:p>
    <w:p w14:paraId="48EDF0E1" w14:textId="77777777" w:rsidR="00E91B70" w:rsidRDefault="0050236C">
      <w:pPr>
        <w:pStyle w:val="TM2"/>
      </w:pPr>
      <w:hyperlink r:id="rId14" w:history="1">
        <w:r>
          <w:t xml:space="preserve"> Variantes</w:t>
        </w:r>
        <w:r>
          <w:tab/>
          <w:t>3</w:t>
        </w:r>
      </w:hyperlink>
    </w:p>
    <w:p w14:paraId="6B3EC34C" w14:textId="77777777" w:rsidR="00E91B70" w:rsidRDefault="0050236C">
      <w:pPr>
        <w:pStyle w:val="TM2"/>
      </w:pPr>
      <w:hyperlink r:id="rId15" w:history="1">
        <w:r>
          <w:t xml:space="preserve"> Prestations supplémentaires éventuelles (PSE)</w:t>
        </w:r>
        <w:r>
          <w:tab/>
          <w:t>3</w:t>
        </w:r>
      </w:hyperlink>
    </w:p>
    <w:p w14:paraId="61D73976" w14:textId="77777777" w:rsidR="00E91B70" w:rsidRDefault="0050236C">
      <w:pPr>
        <w:pStyle w:val="TM2"/>
      </w:pPr>
      <w:hyperlink r:id="rId16" w:history="1">
        <w:r>
          <w:t xml:space="preserve"> Modification de détail des documents de la consultation</w:t>
        </w:r>
        <w:r>
          <w:tab/>
          <w:t>3</w:t>
        </w:r>
      </w:hyperlink>
    </w:p>
    <w:p w14:paraId="18C451A4" w14:textId="77777777" w:rsidR="00E91B70" w:rsidRDefault="0050236C">
      <w:pPr>
        <w:pStyle w:val="TM2"/>
      </w:pPr>
      <w:hyperlink r:id="rId17" w:history="1">
        <w:r>
          <w:t xml:space="preserve"> Délai de validité des offres</w:t>
        </w:r>
        <w:r>
          <w:tab/>
          <w:t>4</w:t>
        </w:r>
      </w:hyperlink>
    </w:p>
    <w:p w14:paraId="3E7CB807" w14:textId="77777777" w:rsidR="00E91B70" w:rsidRDefault="0050236C">
      <w:pPr>
        <w:pStyle w:val="TM2"/>
      </w:pPr>
      <w:hyperlink r:id="rId18" w:history="1">
        <w:r>
          <w:t xml:space="preserve"> Visite des lieux d’exécution du marché</w:t>
        </w:r>
        <w:r>
          <w:tab/>
          <w:t>4</w:t>
        </w:r>
      </w:hyperlink>
    </w:p>
    <w:p w14:paraId="51ACA7E7" w14:textId="77777777" w:rsidR="00E91B70" w:rsidRDefault="0050236C">
      <w:pPr>
        <w:pStyle w:val="TM1"/>
      </w:pPr>
      <w:hyperlink r:id="rId19" w:history="1">
        <w:r>
          <w:t xml:space="preserve"> Contenu des documents de la consultation</w:t>
        </w:r>
        <w:r>
          <w:tab/>
          <w:t>4</w:t>
        </w:r>
      </w:hyperlink>
    </w:p>
    <w:p w14:paraId="67B22E12" w14:textId="77777777" w:rsidR="00E91B70" w:rsidRDefault="0050236C">
      <w:pPr>
        <w:pStyle w:val="TM1"/>
      </w:pPr>
      <w:hyperlink r:id="rId20" w:history="1">
        <w:r>
          <w:t xml:space="preserve"> Retrait des documents de la consultation</w:t>
        </w:r>
        <w:r>
          <w:tab/>
          <w:t>4</w:t>
        </w:r>
      </w:hyperlink>
    </w:p>
    <w:p w14:paraId="399E4A9F" w14:textId="77777777" w:rsidR="00E91B70" w:rsidRDefault="0050236C">
      <w:pPr>
        <w:pStyle w:val="TM1"/>
      </w:pPr>
      <w:hyperlink r:id="rId21" w:history="1">
        <w:r>
          <w:t xml:space="preserve"> Présentation des candidatures et des offres</w:t>
        </w:r>
        <w:r>
          <w:tab/>
          <w:t>5</w:t>
        </w:r>
      </w:hyperlink>
    </w:p>
    <w:p w14:paraId="08A186B0" w14:textId="77777777" w:rsidR="00E91B70" w:rsidRDefault="0050236C">
      <w:pPr>
        <w:pStyle w:val="TM2"/>
      </w:pPr>
      <w:hyperlink r:id="rId22" w:history="1">
        <w:r>
          <w:t xml:space="preserve"> Éléments nécessaires à la sélection des candidatures</w:t>
        </w:r>
        <w:r>
          <w:tab/>
          <w:t>5</w:t>
        </w:r>
      </w:hyperlink>
    </w:p>
    <w:p w14:paraId="37B8C802" w14:textId="77777777" w:rsidR="00E91B70" w:rsidRDefault="0050236C">
      <w:pPr>
        <w:pStyle w:val="TM2"/>
      </w:pPr>
      <w:hyperlink r:id="rId23" w:history="1">
        <w:r>
          <w:t xml:space="preserve"> Éléments nécessaires au choix de l’offre</w:t>
        </w:r>
        <w:r>
          <w:tab/>
          <w:t>7</w:t>
        </w:r>
      </w:hyperlink>
    </w:p>
    <w:p w14:paraId="46DDC5CD" w14:textId="77777777" w:rsidR="00E91B70" w:rsidRDefault="0050236C">
      <w:pPr>
        <w:pStyle w:val="TM1"/>
      </w:pPr>
      <w:hyperlink r:id="rId24" w:history="1">
        <w:r>
          <w:t xml:space="preserve"> Jugement des candidatures, des offres et attribution du marché</w:t>
        </w:r>
        <w:r>
          <w:tab/>
        </w:r>
        <w:r>
          <w:t>7</w:t>
        </w:r>
      </w:hyperlink>
    </w:p>
    <w:p w14:paraId="44FA117B" w14:textId="77777777" w:rsidR="00E91B70" w:rsidRDefault="0050236C">
      <w:pPr>
        <w:pStyle w:val="TM2"/>
      </w:pPr>
      <w:hyperlink r:id="rId25" w:history="1">
        <w:r>
          <w:t xml:space="preserve"> Jugement des candidatures</w:t>
        </w:r>
        <w:r>
          <w:tab/>
          <w:t>7</w:t>
        </w:r>
      </w:hyperlink>
    </w:p>
    <w:p w14:paraId="487D6484" w14:textId="77777777" w:rsidR="00E91B70" w:rsidRDefault="0050236C">
      <w:pPr>
        <w:pStyle w:val="TM2"/>
      </w:pPr>
      <w:hyperlink r:id="rId26" w:history="1">
        <w:r>
          <w:t xml:space="preserve"> Jugement des offres</w:t>
        </w:r>
        <w:r>
          <w:tab/>
          <w:t>7</w:t>
        </w:r>
      </w:hyperlink>
    </w:p>
    <w:p w14:paraId="0D85E4B6" w14:textId="77777777" w:rsidR="00E91B70" w:rsidRDefault="0050236C">
      <w:pPr>
        <w:pStyle w:val="TM2"/>
      </w:pPr>
      <w:hyperlink r:id="rId27" w:history="1">
        <w:r>
          <w:t xml:space="preserve"> Attribution du marché</w:t>
        </w:r>
        <w:r>
          <w:tab/>
          <w:t>8</w:t>
        </w:r>
      </w:hyperlink>
    </w:p>
    <w:p w14:paraId="64A3DBE7" w14:textId="77777777" w:rsidR="00E91B70" w:rsidRDefault="0050236C">
      <w:pPr>
        <w:pStyle w:val="TM1"/>
      </w:pPr>
      <w:hyperlink r:id="rId28" w:history="1">
        <w:r>
          <w:t xml:space="preserve"> Conditions d’envoi et de remise des candidatures et des offres</w:t>
        </w:r>
        <w:r>
          <w:tab/>
          <w:t>8</w:t>
        </w:r>
      </w:hyperlink>
    </w:p>
    <w:p w14:paraId="7D381930" w14:textId="77777777" w:rsidR="00E91B70" w:rsidRDefault="0050236C">
      <w:pPr>
        <w:pStyle w:val="TM1"/>
      </w:pPr>
      <w:hyperlink r:id="rId29" w:history="1">
        <w:r>
          <w:t xml:space="preserve"> Renseignements complémentaires</w:t>
        </w:r>
        <w:r>
          <w:tab/>
          <w:t>10</w:t>
        </w:r>
      </w:hyperlink>
    </w:p>
    <w:p w14:paraId="6C2B3255" w14:textId="77777777" w:rsidR="00E91B70" w:rsidRDefault="0050236C">
      <w:pPr>
        <w:pStyle w:val="TM1"/>
      </w:pPr>
      <w:hyperlink r:id="rId30" w:history="1">
        <w:r>
          <w:t xml:space="preserve"> Procédures de </w:t>
        </w:r>
        <w:r>
          <w:t>recours</w:t>
        </w:r>
        <w:r>
          <w:tab/>
          <w:t>10</w:t>
        </w:r>
      </w:hyperlink>
    </w:p>
    <w:p w14:paraId="5036D64C" w14:textId="77777777" w:rsidR="00E91B70" w:rsidRDefault="0050236C">
      <w:r>
        <w:rPr>
          <w:b/>
          <w:kern w:val="3"/>
          <w:sz w:val="24"/>
        </w:rPr>
        <w:fldChar w:fldCharType="end"/>
      </w:r>
    </w:p>
    <w:p w14:paraId="62C7FF58" w14:textId="77777777" w:rsidR="00E91B70" w:rsidRDefault="00E91B70"/>
    <w:p w14:paraId="2D9BB5BA" w14:textId="77777777" w:rsidR="00E91B70" w:rsidRDefault="00E91B70">
      <w:pPr>
        <w:pageBreakBefore/>
      </w:pPr>
    </w:p>
    <w:p w14:paraId="4997637B" w14:textId="77777777" w:rsidR="00E91B70" w:rsidRDefault="0050236C">
      <w:pPr>
        <w:pStyle w:val="RedaliaTitre1"/>
      </w:pPr>
      <w:bookmarkStart w:id="9" w:name="_Toc191310570"/>
      <w:bookmarkStart w:id="10" w:name="__RefHeading___Toc884_1227691514"/>
      <w:bookmarkEnd w:id="9"/>
      <w:r>
        <w:t>Objet du marché</w:t>
      </w:r>
      <w:bookmarkEnd w:id="10"/>
    </w:p>
    <w:p w14:paraId="4FD04764" w14:textId="77777777" w:rsidR="00E91B70" w:rsidRDefault="0050236C">
      <w:pPr>
        <w:pStyle w:val="RedaliaNormal"/>
      </w:pPr>
      <w:r>
        <w:t>La consultation a pour objet : Travaux de remplacement de menuiseries extérieures à Biscarrosse.</w:t>
      </w:r>
    </w:p>
    <w:p w14:paraId="044F9BC7" w14:textId="77777777" w:rsidR="00E91B70" w:rsidRDefault="0050236C">
      <w:pPr>
        <w:pStyle w:val="RedaliaNormal"/>
      </w:pPr>
      <w:r>
        <w:t>Lieu d’exécution des prestations : BISCARROSSE.</w:t>
      </w:r>
    </w:p>
    <w:p w14:paraId="7D17C99A" w14:textId="77777777" w:rsidR="00E91B70" w:rsidRDefault="0050236C">
      <w:pPr>
        <w:pStyle w:val="RedaliaTitre2"/>
      </w:pPr>
      <w:bookmarkStart w:id="11" w:name="__RefHeading___Toc886_1227691514"/>
      <w:r>
        <w:t>Forme</w:t>
      </w:r>
      <w:bookmarkEnd w:id="11"/>
    </w:p>
    <w:p w14:paraId="149E0E83" w14:textId="77777777" w:rsidR="00E91B70" w:rsidRDefault="0050236C">
      <w:pPr>
        <w:pStyle w:val="RedaliaNormal"/>
      </w:pPr>
      <w:r>
        <w:t>La consultation ne fait pas l'objet d'une décomposition en lots.</w:t>
      </w:r>
    </w:p>
    <w:p w14:paraId="0E9F6AEB" w14:textId="77777777" w:rsidR="00E91B70" w:rsidRDefault="0050236C">
      <w:pPr>
        <w:pStyle w:val="RedaliaNormal"/>
      </w:pPr>
      <w:r>
        <w:t>Les raisons du non-allotissement de la consultation sont les suivantes :</w:t>
      </w:r>
    </w:p>
    <w:p w14:paraId="14D57D1C" w14:textId="3C1C3949" w:rsidR="00E91B70" w:rsidRDefault="0050236C">
      <w:pPr>
        <w:pStyle w:val="RedaliaNormal"/>
      </w:pPr>
      <w:r>
        <w:t xml:space="preserve">L'objet du marché ne permet pas l'identification de prestations </w:t>
      </w:r>
      <w:r w:rsidR="00274139">
        <w:t>distinctes.</w:t>
      </w:r>
    </w:p>
    <w:p w14:paraId="5D2D5670" w14:textId="77777777" w:rsidR="00E91B70" w:rsidRDefault="0050236C">
      <w:pPr>
        <w:pStyle w:val="RedaliaNormal"/>
      </w:pPr>
      <w:r>
        <w:t>Le présent marché ne fait pas non plus l'objet d'un fractionnement en tranches ou bons de commande.</w:t>
      </w:r>
    </w:p>
    <w:p w14:paraId="2F59FA87" w14:textId="77777777" w:rsidR="00E91B70" w:rsidRDefault="00E91B70">
      <w:pPr>
        <w:pStyle w:val="RedaliaNormal"/>
      </w:pPr>
    </w:p>
    <w:p w14:paraId="29ECDFD7" w14:textId="77777777" w:rsidR="00E91B70" w:rsidRDefault="0050236C">
      <w:pPr>
        <w:pStyle w:val="RedaliaTitre2"/>
      </w:pPr>
      <w:bookmarkStart w:id="12" w:name="_Toc191310574"/>
      <w:bookmarkStart w:id="13" w:name="__RefHeading___Toc888_1227691514"/>
      <w:r>
        <w:t xml:space="preserve">Durée du </w:t>
      </w:r>
      <w:r>
        <w:t>marché – Reconduction – Délais d’exécution</w:t>
      </w:r>
      <w:bookmarkEnd w:id="12"/>
      <w:bookmarkEnd w:id="13"/>
    </w:p>
    <w:p w14:paraId="7F5409ED" w14:textId="77777777" w:rsidR="00E91B70" w:rsidRDefault="0050236C">
      <w:pPr>
        <w:pStyle w:val="RedaliaNormal"/>
      </w:pPr>
      <w:r>
        <w:t>La durée, les modalités de reconduction et les délais d’exécution figurent à l’acte d’engagement.</w:t>
      </w:r>
    </w:p>
    <w:p w14:paraId="560DCC99" w14:textId="0A68D90E" w:rsidR="00E91B70" w:rsidRDefault="00274139">
      <w:pPr>
        <w:pStyle w:val="RedaliaNormal"/>
      </w:pPr>
      <w:r>
        <w:t>A</w:t>
      </w:r>
      <w:r w:rsidR="0050236C">
        <w:t xml:space="preserve"> titre indicatif, il est prévu que les prestations commenceront vers le 29/01/2027.</w:t>
      </w:r>
    </w:p>
    <w:p w14:paraId="6A6EDB07" w14:textId="77777777" w:rsidR="00E91B70" w:rsidRDefault="0050236C">
      <w:pPr>
        <w:pStyle w:val="RedaliaTitre1"/>
      </w:pPr>
      <w:bookmarkStart w:id="14" w:name="_Toc191310575"/>
      <w:bookmarkStart w:id="15" w:name="__RefHeading___Toc890_1227691514"/>
      <w:r>
        <w:t>Organisation de la consultation</w:t>
      </w:r>
      <w:bookmarkEnd w:id="3"/>
      <w:bookmarkEnd w:id="14"/>
      <w:bookmarkEnd w:id="15"/>
    </w:p>
    <w:p w14:paraId="39D58664" w14:textId="77777777" w:rsidR="00E91B70" w:rsidRDefault="0050236C">
      <w:pPr>
        <w:pStyle w:val="RedaliaTitre2"/>
      </w:pPr>
      <w:bookmarkStart w:id="16" w:name="_Toc526153319"/>
      <w:bookmarkStart w:id="17" w:name="_Toc191310576"/>
      <w:bookmarkStart w:id="18" w:name="__RefHeading___Toc892_1227691514"/>
      <w:r>
        <w:t xml:space="preserve">Procédure de </w:t>
      </w:r>
      <w:bookmarkEnd w:id="16"/>
      <w:r>
        <w:t>passation</w:t>
      </w:r>
      <w:bookmarkEnd w:id="17"/>
      <w:bookmarkEnd w:id="18"/>
    </w:p>
    <w:p w14:paraId="4F9184EA" w14:textId="77777777" w:rsidR="00E91B70" w:rsidRDefault="0050236C">
      <w:pPr>
        <w:pStyle w:val="RedaliaNormal"/>
      </w:pPr>
      <w:r>
        <w:t xml:space="preserve">La présente consultation est passée dans le respect des dispositions des articles R. 2123-1 à R. 2123-7 du Code de la commande publique selon une procédure adaptée ouverte avec négociation éventuelle, librement définie par le </w:t>
      </w:r>
      <w:r>
        <w:t>pouvoir adjudicateur.</w:t>
      </w:r>
    </w:p>
    <w:p w14:paraId="1CA4F601" w14:textId="77777777" w:rsidR="00E91B70" w:rsidRDefault="0050236C">
      <w:pPr>
        <w:pStyle w:val="RedaliaTitre2"/>
      </w:pPr>
      <w:bookmarkStart w:id="19" w:name="__RefHeading___Toc894_1227691514"/>
      <w:r>
        <w:t>Dispositions relatives aux groupements</w:t>
      </w:r>
      <w:bookmarkEnd w:id="19"/>
    </w:p>
    <w:p w14:paraId="7F7E348A" w14:textId="77777777" w:rsidR="00E91B70" w:rsidRDefault="0050236C">
      <w:pPr>
        <w:pStyle w:val="RedaliaNormal"/>
      </w:pPr>
      <w:r>
        <w:t>Le marché pourra être attribué à une seule entreprise ou à un groupement d’entreprises.</w:t>
      </w:r>
    </w:p>
    <w:p w14:paraId="27B28A78" w14:textId="77777777" w:rsidR="00E91B70" w:rsidRDefault="0050236C">
      <w:pPr>
        <w:pStyle w:val="RedaliaNormal"/>
      </w:pPr>
      <w:r>
        <w:t>Si le marché est attribué à un groupement conjoint, le mandataire conjoint sera solidaire de chacun des membres du groupement.</w:t>
      </w:r>
    </w:p>
    <w:p w14:paraId="0776ECA6" w14:textId="77777777" w:rsidR="00E91B70" w:rsidRDefault="00E91B70">
      <w:pPr>
        <w:pStyle w:val="RedaliaNormal"/>
      </w:pPr>
    </w:p>
    <w:p w14:paraId="7861419E" w14:textId="77777777" w:rsidR="00E91B70" w:rsidRDefault="0050236C">
      <w:pPr>
        <w:pStyle w:val="RedaliaNormal"/>
      </w:pPr>
      <w:r>
        <w:t>Les candidats n’ont pas la possibilité de présenter pour le marché plusieurs offres en agissant à la fois en qualité de candidats individuels et de membres d’un ou plusieurs groupements.</w:t>
      </w:r>
    </w:p>
    <w:p w14:paraId="461F35C5" w14:textId="77777777" w:rsidR="00E91B70" w:rsidRDefault="0050236C">
      <w:pPr>
        <w:pStyle w:val="RedaliaNormal"/>
      </w:pPr>
      <w:r>
        <w:t xml:space="preserve">Les candidats ont la possibilité de présenter </w:t>
      </w:r>
      <w:r>
        <w:t>pour le marché plusieurs offres en agissant en qualité de membres de plusieurs groupements.</w:t>
      </w:r>
    </w:p>
    <w:p w14:paraId="365EABA5" w14:textId="77777777" w:rsidR="00E91B70" w:rsidRDefault="0050236C">
      <w:pPr>
        <w:pStyle w:val="RedaliaTitre2"/>
      </w:pPr>
      <w:bookmarkStart w:id="20" w:name="__RefHeading___Toc896_1227691514"/>
      <w:bookmarkStart w:id="21" w:name="_Toc191310577"/>
      <w:bookmarkEnd w:id="4"/>
      <w:bookmarkEnd w:id="5"/>
      <w:bookmarkEnd w:id="6"/>
      <w:r>
        <w:t>Variantes</w:t>
      </w:r>
      <w:bookmarkEnd w:id="7"/>
      <w:bookmarkEnd w:id="20"/>
      <w:bookmarkEnd w:id="21"/>
    </w:p>
    <w:p w14:paraId="68EBB40D" w14:textId="77777777" w:rsidR="00E91B70" w:rsidRDefault="0050236C">
      <w:pPr>
        <w:pStyle w:val="RedaliaNormal"/>
      </w:pPr>
      <w:r>
        <w:t>Il n’y a pas de variante prévue dans la consultation.</w:t>
      </w:r>
    </w:p>
    <w:p w14:paraId="35675221" w14:textId="77777777" w:rsidR="00E91B70" w:rsidRDefault="0050236C">
      <w:pPr>
        <w:pStyle w:val="RedaliaTitre2"/>
      </w:pPr>
      <w:bookmarkStart w:id="22" w:name="_Toc191310578"/>
      <w:bookmarkStart w:id="23" w:name="__RefHeading___Toc898_1227691514"/>
      <w:r>
        <w:t>Prestations supplémentaires éventuelles</w:t>
      </w:r>
      <w:bookmarkEnd w:id="22"/>
      <w:r>
        <w:t xml:space="preserve"> (PSE)</w:t>
      </w:r>
      <w:bookmarkEnd w:id="23"/>
    </w:p>
    <w:p w14:paraId="57C69C0C" w14:textId="77777777" w:rsidR="00E91B70" w:rsidRDefault="0050236C">
      <w:pPr>
        <w:pStyle w:val="RedaliaNormal"/>
      </w:pPr>
      <w:r>
        <w:t>Il n’est pas prévu de PSE.</w:t>
      </w:r>
    </w:p>
    <w:p w14:paraId="795D4CF3" w14:textId="77777777" w:rsidR="00E91B70" w:rsidRDefault="0050236C">
      <w:pPr>
        <w:pStyle w:val="RedaliaTitre2"/>
      </w:pPr>
      <w:bookmarkStart w:id="24" w:name="__RefHeading___Toc900_1227691514"/>
      <w:r>
        <w:t>Modification de détail des documents de la consultation</w:t>
      </w:r>
      <w:bookmarkEnd w:id="24"/>
    </w:p>
    <w:p w14:paraId="0B5E0941" w14:textId="77777777" w:rsidR="00E91B70" w:rsidRDefault="0050236C">
      <w:pPr>
        <w:pStyle w:val="RedaliaNormal"/>
      </w:pPr>
      <w:r>
        <w:t xml:space="preserve">Le pouvoir adjudicateur se réserve le droit d'apporter, au plus tard 8 jours avant la date limite fixée pour la réception des offres, des modifications de détail aux documents de la </w:t>
      </w:r>
      <w:r>
        <w:lastRenderedPageBreak/>
        <w:t>consultation.</w:t>
      </w:r>
    </w:p>
    <w:p w14:paraId="3195C992" w14:textId="77777777" w:rsidR="00E91B70" w:rsidRDefault="0050236C">
      <w:pPr>
        <w:pStyle w:val="RedaliaNormal"/>
      </w:pPr>
      <w:r>
        <w:t xml:space="preserve">La réponse devra respecter les </w:t>
      </w:r>
      <w:r>
        <w:t>documents modifiés sans pouvoir élever aucune réclamation à ce sujet.</w:t>
      </w:r>
    </w:p>
    <w:p w14:paraId="5A62C067" w14:textId="77777777" w:rsidR="00E91B70" w:rsidRDefault="0050236C">
      <w:pPr>
        <w:pStyle w:val="RedaliaNormal"/>
      </w:pPr>
      <w:r>
        <w:t>Si, pendant l'étude des documents de la consultation, la date limite ci-dessus est reportée, la disposition précédente est applicable en fonction de cette nouvelle date.</w:t>
      </w:r>
    </w:p>
    <w:p w14:paraId="197C0B82" w14:textId="77777777" w:rsidR="00E91B70" w:rsidRDefault="0050236C">
      <w:pPr>
        <w:pStyle w:val="RedaliaTitre2"/>
      </w:pPr>
      <w:bookmarkStart w:id="25" w:name="_Toc191310579"/>
      <w:bookmarkStart w:id="26" w:name="__RefHeading___Toc902_1227691514"/>
      <w:r>
        <w:t>Délai de validité des offres</w:t>
      </w:r>
      <w:bookmarkEnd w:id="8"/>
      <w:bookmarkEnd w:id="25"/>
      <w:bookmarkEnd w:id="26"/>
    </w:p>
    <w:p w14:paraId="46D236C5" w14:textId="77777777" w:rsidR="00E91B70" w:rsidRDefault="0050236C">
      <w:pPr>
        <w:pStyle w:val="RedaliaNormal"/>
      </w:pPr>
      <w:r>
        <w:t>Le délai de validité des offres est de 180 jours à compter de la date limite de remise de l’offre finale.</w:t>
      </w:r>
    </w:p>
    <w:p w14:paraId="098BF46B" w14:textId="77777777" w:rsidR="00E91B70" w:rsidRDefault="0050236C">
      <w:pPr>
        <w:pStyle w:val="RedaliaTitre2"/>
      </w:pPr>
      <w:bookmarkStart w:id="27" w:name="_Toc138060894"/>
      <w:bookmarkStart w:id="28" w:name="_Toc526153348"/>
      <w:bookmarkStart w:id="29" w:name="__RefHeading___Toc904_1227691514"/>
      <w:r>
        <w:t xml:space="preserve">Visite </w:t>
      </w:r>
      <w:bookmarkEnd w:id="27"/>
      <w:bookmarkEnd w:id="28"/>
      <w:r>
        <w:t>des lieux d’exécution du marché</w:t>
      </w:r>
      <w:bookmarkEnd w:id="29"/>
    </w:p>
    <w:p w14:paraId="14D4D64D" w14:textId="735B99D7" w:rsidR="00E91B70" w:rsidRDefault="0050236C">
      <w:pPr>
        <w:pStyle w:val="RedaliaNormal"/>
      </w:pPr>
      <w:r>
        <w:t>Une visite du site sera organisé</w:t>
      </w:r>
      <w:r w:rsidR="00274139">
        <w:t>e</w:t>
      </w:r>
      <w:r>
        <w:t xml:space="preserve"> le mercredi 18 novembre 2026 à 10H30</w:t>
      </w:r>
    </w:p>
    <w:p w14:paraId="442E1453" w14:textId="142256C5" w:rsidR="00E91B70" w:rsidRDefault="0050236C">
      <w:pPr>
        <w:pStyle w:val="RedaliaNormal"/>
      </w:pPr>
      <w:r>
        <w:t xml:space="preserve">Prendre rendez-vous obligatoirement au préalable auprès de Mme Anne </w:t>
      </w:r>
      <w:r w:rsidR="00274139">
        <w:t>Mandon au</w:t>
      </w:r>
      <w:r>
        <w:t xml:space="preserve"> 06 30 07 27 12.</w:t>
      </w:r>
    </w:p>
    <w:p w14:paraId="36CE9184" w14:textId="77777777" w:rsidR="00E91B70" w:rsidRDefault="0050236C">
      <w:pPr>
        <w:pStyle w:val="RedaliaTitre1"/>
      </w:pPr>
      <w:bookmarkStart w:id="30" w:name="_Toc191310581"/>
      <w:bookmarkStart w:id="31" w:name="__RefHeading___Toc906_1227691514"/>
      <w:r>
        <w:t>Contenu des documents de la consultation</w:t>
      </w:r>
      <w:bookmarkEnd w:id="30"/>
      <w:bookmarkEnd w:id="31"/>
    </w:p>
    <w:p w14:paraId="2DB134DE" w14:textId="77777777" w:rsidR="00E91B70" w:rsidRDefault="0050236C">
      <w:pPr>
        <w:pStyle w:val="RedaliaNormal"/>
      </w:pPr>
      <w:r>
        <w:t>Les documents de la consultation comprennent les pièces suivantes :</w:t>
      </w:r>
    </w:p>
    <w:p w14:paraId="0246002B" w14:textId="77777777" w:rsidR="00E91B70" w:rsidRDefault="0050236C">
      <w:pPr>
        <w:pStyle w:val="RedaliaRetraitavecpuce"/>
        <w:numPr>
          <w:ilvl w:val="0"/>
          <w:numId w:val="21"/>
        </w:numPr>
      </w:pPr>
      <w:r>
        <w:t>Le présent règlement de la consultation (RC)</w:t>
      </w:r>
    </w:p>
    <w:p w14:paraId="52812B17" w14:textId="77777777" w:rsidR="00E91B70" w:rsidRDefault="0050236C">
      <w:pPr>
        <w:pStyle w:val="RedaliaRetraitavecpuce"/>
      </w:pPr>
      <w:r>
        <w:t>L’acte d’engagement</w:t>
      </w:r>
    </w:p>
    <w:p w14:paraId="405EF769" w14:textId="77777777" w:rsidR="00E91B70" w:rsidRDefault="0050236C">
      <w:pPr>
        <w:pStyle w:val="RedaliaRetraitavecpuce"/>
      </w:pPr>
      <w:r>
        <w:t>Le Cahier des Clauses Administratives Particulières (CCAP)</w:t>
      </w:r>
    </w:p>
    <w:p w14:paraId="164650C3" w14:textId="77777777" w:rsidR="00E91B70" w:rsidRDefault="0050236C">
      <w:pPr>
        <w:pStyle w:val="RedaliaRetraitavecpuce"/>
      </w:pPr>
      <w:r>
        <w:t>Le Cahier des Clauses Techniques Particulières (CCTP)</w:t>
      </w:r>
    </w:p>
    <w:p w14:paraId="2295059C" w14:textId="77777777" w:rsidR="00E91B70" w:rsidRDefault="0050236C">
      <w:pPr>
        <w:pStyle w:val="RedaliaRetraitavecpuce"/>
      </w:pPr>
      <w:r>
        <w:t xml:space="preserve">La </w:t>
      </w:r>
      <w:r>
        <w:t>décomposition du prix global et forfaitaire</w:t>
      </w:r>
    </w:p>
    <w:p w14:paraId="4A04F110" w14:textId="04678E0D" w:rsidR="00E91B70" w:rsidRDefault="0050236C">
      <w:pPr>
        <w:pStyle w:val="RedaliaRetraitavecpuce"/>
      </w:pPr>
      <w:r>
        <w:t>Synoptique Commande publique</w:t>
      </w:r>
    </w:p>
    <w:p w14:paraId="3AA0BFEA" w14:textId="77777777" w:rsidR="00E91B70" w:rsidRDefault="0050236C">
      <w:pPr>
        <w:pStyle w:val="RedaliaTitre1"/>
      </w:pPr>
      <w:bookmarkStart w:id="32" w:name="_Toc191310582"/>
      <w:bookmarkStart w:id="33" w:name="__RefHeading___Toc908_1227691514"/>
      <w:r>
        <w:t>Retrait des documents de la consultation</w:t>
      </w:r>
      <w:bookmarkEnd w:id="32"/>
      <w:bookmarkEnd w:id="33"/>
    </w:p>
    <w:p w14:paraId="43EF4A53" w14:textId="77777777" w:rsidR="00E91B70" w:rsidRDefault="0050236C">
      <w:pPr>
        <w:pStyle w:val="RedaliaNormal"/>
      </w:pPr>
      <w:r>
        <w:t>Le pouvoir adjudicateur informe que les documents de la consultation sont dématérialisés.</w:t>
      </w:r>
    </w:p>
    <w:p w14:paraId="4E033595" w14:textId="77777777" w:rsidR="00E91B70" w:rsidRDefault="0050236C">
      <w:pPr>
        <w:pStyle w:val="RedaliaNormal"/>
      </w:pPr>
      <w:r>
        <w:t>Les documents de la consultation peuvent être consultés et téléchargés gratuitement à l’adresse suivante :</w:t>
      </w:r>
    </w:p>
    <w:p w14:paraId="6C2B7064" w14:textId="77777777" w:rsidR="00E91B70" w:rsidRDefault="0050236C">
      <w:pPr>
        <w:pStyle w:val="RedaliaNormal"/>
        <w:jc w:val="center"/>
      </w:pPr>
      <w:r>
        <w:t>https://demat-ampa.fr.</w:t>
      </w:r>
    </w:p>
    <w:p w14:paraId="59838F4F" w14:textId="77777777" w:rsidR="00E91B70" w:rsidRDefault="00E91B70">
      <w:pPr>
        <w:pStyle w:val="RedaliaNormal"/>
      </w:pPr>
    </w:p>
    <w:p w14:paraId="271DA198" w14:textId="77777777" w:rsidR="00E91B70" w:rsidRDefault="0050236C">
      <w:pPr>
        <w:pStyle w:val="RedaliaNormal"/>
      </w:pPr>
      <w:r>
        <w:t xml:space="preserve">Afin de pouvoir décompresser et lire les documents mis à disposition par le pouvoir adjudicateur, les opérateurs économiques devront disposer des logiciels permettant de lire </w:t>
      </w:r>
      <w:r>
        <w:t>les formats suivants :</w:t>
      </w:r>
    </w:p>
    <w:p w14:paraId="36CCFA2B" w14:textId="77777777" w:rsidR="00E91B70" w:rsidRDefault="0050236C">
      <w:pPr>
        <w:pStyle w:val="RedaliaRetraitavecpuce"/>
      </w:pPr>
      <w:r>
        <w:t xml:space="preserve">Fichiers compressés au standard *.zip (lisibles par </w:t>
      </w:r>
      <w:proofErr w:type="spellStart"/>
      <w:r>
        <w:t>Winzip</w:t>
      </w:r>
      <w:proofErr w:type="spellEnd"/>
      <w:r>
        <w:t xml:space="preserve">, </w:t>
      </w:r>
      <w:proofErr w:type="spellStart"/>
      <w:r>
        <w:t>Quickzip</w:t>
      </w:r>
      <w:proofErr w:type="spellEnd"/>
      <w:r>
        <w:t>) ;</w:t>
      </w:r>
    </w:p>
    <w:p w14:paraId="70A61511" w14:textId="77777777" w:rsidR="00E91B70" w:rsidRDefault="0050236C">
      <w:pPr>
        <w:pStyle w:val="RedaliaRetraitavecpuce"/>
      </w:pPr>
      <w:r>
        <w:t>Adobe® Acrobat® *.</w:t>
      </w:r>
      <w:proofErr w:type="spellStart"/>
      <w:r>
        <w:t>pdf</w:t>
      </w:r>
      <w:proofErr w:type="spellEnd"/>
      <w:r>
        <w:t xml:space="preserve"> (lisibles par le logiciel Adobe Reader) ;</w:t>
      </w:r>
    </w:p>
    <w:p w14:paraId="2E831806" w14:textId="77777777" w:rsidR="00E91B70" w:rsidRDefault="0050236C">
      <w:pPr>
        <w:pStyle w:val="RedaliaRetraitavecpuce"/>
      </w:pPr>
      <w:r>
        <w:t>*.doc ou *.</w:t>
      </w:r>
      <w:proofErr w:type="spellStart"/>
      <w:r>
        <w:t>xls</w:t>
      </w:r>
      <w:proofErr w:type="spellEnd"/>
      <w:r>
        <w:t xml:space="preserve"> version 2000-2003 (lisibles par Microsoft Office ou OpenOffice) ;</w:t>
      </w:r>
    </w:p>
    <w:p w14:paraId="763D78EA" w14:textId="77777777" w:rsidR="00E91B70" w:rsidRDefault="0050236C">
      <w:pPr>
        <w:pStyle w:val="RedaliaRetraitavecpuce"/>
      </w:pPr>
      <w:r>
        <w:t>Rich Text Format *.</w:t>
      </w:r>
      <w:proofErr w:type="spellStart"/>
      <w:r>
        <w:t>rtf</w:t>
      </w:r>
      <w:proofErr w:type="spellEnd"/>
      <w:r>
        <w:t> ;</w:t>
      </w:r>
    </w:p>
    <w:p w14:paraId="2F54A7F0" w14:textId="77777777" w:rsidR="00E91B70" w:rsidRDefault="0050236C">
      <w:pPr>
        <w:pStyle w:val="RedaliaRetraitavecpuce"/>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5DBB70A3" w14:textId="77777777" w:rsidR="00E91B70" w:rsidRDefault="00E91B70">
      <w:pPr>
        <w:pStyle w:val="RedaliaNormal"/>
      </w:pPr>
    </w:p>
    <w:p w14:paraId="7ADCFDDE" w14:textId="77777777" w:rsidR="00E91B70" w:rsidRDefault="0050236C">
      <w:pPr>
        <w:pStyle w:val="RedaliaNormal"/>
      </w:pPr>
      <w:r>
        <w:t xml:space="preserve">Lors du téléchargement des documents de la consultation, il est recommandé à l’entreprise de créer un compte sur la </w:t>
      </w:r>
      <w:r>
        <w:t>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0B0439FE" w14:textId="77777777" w:rsidR="00E91B70" w:rsidRDefault="0050236C">
      <w:pPr>
        <w:pStyle w:val="RedaliaNormal"/>
      </w:pPr>
      <w:r>
        <w:t>Le candidat est informé que seuls les exemplaires des documents de la consultation détenus par le pouvoir adjudicateur font foi.</w:t>
      </w:r>
    </w:p>
    <w:p w14:paraId="3C3180FE" w14:textId="77777777" w:rsidR="00E91B70" w:rsidRDefault="0050236C">
      <w:pPr>
        <w:pStyle w:val="RedaliaTitre1"/>
      </w:pPr>
      <w:bookmarkStart w:id="34" w:name="_Toc191310583"/>
      <w:bookmarkStart w:id="35" w:name="__RefHeading___Toc910_1227691514"/>
      <w:r>
        <w:lastRenderedPageBreak/>
        <w:t>Présentation des candidatures et des offres</w:t>
      </w:r>
      <w:bookmarkEnd w:id="34"/>
      <w:bookmarkEnd w:id="35"/>
    </w:p>
    <w:p w14:paraId="522E6132" w14:textId="77777777" w:rsidR="00E91B70" w:rsidRDefault="0050236C">
      <w:pPr>
        <w:pStyle w:val="RedaliaNormal"/>
      </w:pPr>
      <w:r>
        <w:rPr>
          <w:b/>
          <w:bCs/>
          <w:u w:val="single"/>
        </w:rPr>
        <w:t xml:space="preserve">Les </w:t>
      </w:r>
      <w:r>
        <w:rPr>
          <w:b/>
          <w:bCs/>
          <w:u w:val="single"/>
        </w:rPr>
        <w:t>candidats auront à produire</w:t>
      </w:r>
      <w:r>
        <w:rPr>
          <w:b/>
          <w:bCs/>
        </w:rPr>
        <w:t xml:space="preserve"> les pièces ci-dessous définies rédigées en langue française</w:t>
      </w:r>
      <w:r>
        <w:t>.</w:t>
      </w:r>
    </w:p>
    <w:p w14:paraId="58539B98" w14:textId="77777777" w:rsidR="00E91B70" w:rsidRDefault="0050236C">
      <w:pPr>
        <w:pStyle w:val="RedaliaTitre2"/>
      </w:pPr>
      <w:bookmarkStart w:id="36" w:name="__RefHeading___Toc912_1227691514"/>
      <w:r>
        <w:t>Éléments nécessaires à la sélection des candidatures</w:t>
      </w:r>
      <w:bookmarkEnd w:id="36"/>
    </w:p>
    <w:p w14:paraId="1A850DA8" w14:textId="77777777" w:rsidR="00E91B70" w:rsidRDefault="0050236C">
      <w:pPr>
        <w:pStyle w:val="RedaliaNormal"/>
      </w:pPr>
      <w:r>
        <w:t>Chaque candidat ou chaque membre de l’équipe candidate devra produire les pièces suivantes :</w:t>
      </w:r>
    </w:p>
    <w:p w14:paraId="7D69AE09" w14:textId="77777777" w:rsidR="00E91B70" w:rsidRDefault="0050236C">
      <w:pPr>
        <w:pStyle w:val="RedaliaTitre3"/>
      </w:pPr>
      <w:r>
        <w:t>Situation juridique</w:t>
      </w:r>
    </w:p>
    <w:p w14:paraId="5A467E76" w14:textId="77777777" w:rsidR="00E91B70" w:rsidRDefault="0050236C">
      <w:pPr>
        <w:pStyle w:val="RedaliaRetraitavecpuce"/>
      </w:pPr>
      <w:r>
        <w:t xml:space="preserve"> Redressement judiciaire : le candidat produit la copie du ou des jugements prononcés, s'il est en redressement </w:t>
      </w:r>
      <w:proofErr w:type="gramStart"/>
      <w:r>
        <w:t>judiciaire;</w:t>
      </w:r>
      <w:proofErr w:type="gramEnd"/>
    </w:p>
    <w:p w14:paraId="5D6E63FC" w14:textId="77777777" w:rsidR="00E91B70" w:rsidRDefault="0050236C">
      <w:pPr>
        <w:pStyle w:val="RedaliaRetraitavecpuce"/>
      </w:pPr>
      <w:r>
        <w:t xml:space="preserve"> Déclaration sur l'honneur : le candidat produit une déclaration sur l'honneur pour justifier qu'il n'entre dans aucun des cas </w:t>
      </w:r>
      <w:r>
        <w:t xml:space="preserve">mentionnés aux articles L. 2141-1 à L. 2141-11 du Code de la commande </w:t>
      </w:r>
      <w:proofErr w:type="gramStart"/>
      <w:r>
        <w:t>publique;</w:t>
      </w:r>
      <w:proofErr w:type="gramEnd"/>
    </w:p>
    <w:p w14:paraId="6EFEA2B2" w14:textId="77777777" w:rsidR="00E91B70" w:rsidRDefault="0050236C">
      <w:pPr>
        <w:pStyle w:val="RedaliaRetraitavecpuce"/>
      </w:pPr>
      <w:r>
        <w:t xml:space="preserve"> Formulaire DC1 ou équivalent : lettre de candidature - habilitation du mandataire par ses cotraitants</w:t>
      </w:r>
    </w:p>
    <w:p w14:paraId="39B472F0" w14:textId="77777777" w:rsidR="00E91B70" w:rsidRDefault="0050236C">
      <w:pPr>
        <w:pStyle w:val="RedaliaRetraitavecpuce"/>
      </w:pPr>
      <w:r>
        <w:t xml:space="preserve"> Formulaire DC2 ou équivalent : déclaration du candidat individuel ou du membre du groupement</w:t>
      </w:r>
    </w:p>
    <w:p w14:paraId="5AAA26CB" w14:textId="77777777" w:rsidR="00E91B70" w:rsidRDefault="0050236C">
      <w:pPr>
        <w:pStyle w:val="RedaliaRetraitavecpuce"/>
      </w:pPr>
      <w:r>
        <w:t xml:space="preserve"> Attestation de régularité du candidat établi en France vis-à-vis de ses salariés : si le candidat est établi en France, il doit produire une déclaration sur l'honneur justifiant que le travail est effectué par des salariés employés </w:t>
      </w:r>
      <w:r>
        <w:t>régulièrement au regard des articles L. 1221-10, L. 3243-2 et R. 3243-1 du code du travail (dans le cas où le candidat emploie des salariés, conformément à l'article D. 8222-5-3° du code du travail)</w:t>
      </w:r>
    </w:p>
    <w:p w14:paraId="4C9F3022" w14:textId="77777777" w:rsidR="00E91B70" w:rsidRDefault="0050236C">
      <w:pPr>
        <w:pStyle w:val="RedaliaRetraitavecpuce"/>
      </w:pPr>
      <w:r>
        <w:t xml:space="preserve"> Attestation de régularité du candidat établi ou domicilié à l'étranger vis-à-vis de ses salariés : si le candidat est établi ou domicilié à l'étranger, il doit produire une déclaration sur l'honneur attestant qu'il fournit à ses salariés des bulletins de paie comportant les mentions prévues à l'article R. </w:t>
      </w:r>
      <w:r>
        <w:t>3243-1 du code du travail, ou des documents équivalents</w:t>
      </w:r>
    </w:p>
    <w:p w14:paraId="120661E5" w14:textId="5ED4F924" w:rsidR="00E91B70" w:rsidRDefault="0050236C">
      <w:pPr>
        <w:pStyle w:val="RedaliaRetraitavecpuce"/>
      </w:pPr>
      <w:r>
        <w:t xml:space="preserve"> </w:t>
      </w:r>
      <w:r>
        <w:t>Certificat R.G.E.</w:t>
      </w:r>
      <w:r w:rsidR="00274139">
        <w:t xml:space="preserve"> en cours de validité</w:t>
      </w:r>
    </w:p>
    <w:p w14:paraId="19E643FE" w14:textId="77777777" w:rsidR="00E91B70" w:rsidRDefault="0050236C">
      <w:pPr>
        <w:pStyle w:val="RedaliaTitre3"/>
      </w:pPr>
      <w:r>
        <w:t>Capacité</w:t>
      </w:r>
    </w:p>
    <w:p w14:paraId="577D460C" w14:textId="77777777" w:rsidR="00E91B70" w:rsidRDefault="00E91B70">
      <w:pPr>
        <w:pStyle w:val="RedaliaNormal"/>
      </w:pPr>
    </w:p>
    <w:p w14:paraId="1E743C12" w14:textId="77777777" w:rsidR="00274139" w:rsidRDefault="00274139" w:rsidP="00274139">
      <w:pPr>
        <w:pStyle w:val="RedaliaRetraitavecpuce"/>
      </w:pPr>
      <w:r>
        <w:t xml:space="preserve">Attestation d'assurance : déclaration appropriée de banques ou preuve d'une assurance pour les risques </w:t>
      </w:r>
      <w:proofErr w:type="gramStart"/>
      <w:r>
        <w:t>professionnels;</w:t>
      </w:r>
      <w:proofErr w:type="gramEnd"/>
    </w:p>
    <w:p w14:paraId="6C3146C4" w14:textId="77777777" w:rsidR="00274139" w:rsidRDefault="00274139" w:rsidP="00274139">
      <w:pPr>
        <w:pStyle w:val="RedaliaRetraitavecpuce"/>
      </w:pPr>
      <w:r>
        <w:t>Références de travaux similaires : une liste des travaux exécutés au cours des cinq dernières années, assortie d'attestations de bonne exécution pour les travaux les plus importants. Ces attestations indiquent le montant, l'époque et le lieu d'exécution des travaux et précisent s'ils ont été effectués selon les règles de l'art et menés régulièrement à bonne fin.</w:t>
      </w:r>
    </w:p>
    <w:p w14:paraId="3974D14D" w14:textId="77777777" w:rsidR="00274139" w:rsidRDefault="00274139" w:rsidP="00274139">
      <w:pPr>
        <w:pStyle w:val="RedaliaRetraitavecpuce"/>
      </w:pPr>
      <w:r>
        <w:t xml:space="preserve">Titre d'études et titres professionnels : indication des titres d'études et professionnels de l'opérateur économique et/ou des cadres de l'entreprise, et notamment des responsables de prestation de services ou de conduite des travaux de même nature que celle du </w:t>
      </w:r>
      <w:proofErr w:type="gramStart"/>
      <w:r>
        <w:t>marché;</w:t>
      </w:r>
      <w:proofErr w:type="gramEnd"/>
    </w:p>
    <w:p w14:paraId="518E59CD" w14:textId="77777777" w:rsidR="00274139" w:rsidRDefault="00274139" w:rsidP="00274139">
      <w:pPr>
        <w:pStyle w:val="RedaliaRetraitavecpuce"/>
      </w:pPr>
      <w:r>
        <w:t xml:space="preserve">Liste des moyens techniques : déclaration indiquant l'outillage, le matériel et l'équipement technique dont le candidat dispose pour la réalisation de marchés de même </w:t>
      </w:r>
      <w:proofErr w:type="gramStart"/>
      <w:r>
        <w:t>nature;</w:t>
      </w:r>
      <w:proofErr w:type="gramEnd"/>
    </w:p>
    <w:p w14:paraId="5D17FDB7" w14:textId="77777777" w:rsidR="00274139" w:rsidRDefault="00274139" w:rsidP="00274139">
      <w:pPr>
        <w:pStyle w:val="RedaliaRetraitavecpuce"/>
      </w:pPr>
      <w:proofErr w:type="gramStart"/>
      <w:r>
        <w:t>Description techniques</w:t>
      </w:r>
      <w:proofErr w:type="gramEnd"/>
      <w:r>
        <w:t xml:space="preserve"> des moyens et mesures employées : description de l'équipement technique ainsi que des mesures employées par le candidat pour s'assurer de la qualité et des moyens d'étude et de recherche de son entreprise.</w:t>
      </w:r>
    </w:p>
    <w:p w14:paraId="7C6D3310" w14:textId="77777777" w:rsidR="00274139" w:rsidRDefault="00274139" w:rsidP="00274139">
      <w:pPr>
        <w:pStyle w:val="RedaliaRetraitavecpuce"/>
      </w:pPr>
      <w:r>
        <w:lastRenderedPageBreak/>
        <w:t xml:space="preserve">Certificats de qualifications professionnelles : des certificats de qualification professionnelle établis par des organismes indépendants. L'acheteur accepte tout moyen de preuve équivalent ainsi que les certificats équivalents d'organismes établis dans d'autres Etats </w:t>
      </w:r>
      <w:proofErr w:type="gramStart"/>
      <w:r>
        <w:t>membres;</w:t>
      </w:r>
      <w:proofErr w:type="gramEnd"/>
    </w:p>
    <w:p w14:paraId="625CEE08" w14:textId="77777777" w:rsidR="00274139" w:rsidRDefault="00274139">
      <w:pPr>
        <w:pStyle w:val="RedaliaNormal"/>
      </w:pPr>
    </w:p>
    <w:p w14:paraId="7BF52CB2" w14:textId="77777777" w:rsidR="00E91B70" w:rsidRDefault="0050236C">
      <w:pPr>
        <w:pStyle w:val="RedaliaNormal"/>
      </w:pPr>
      <w:r>
        <w:t>Le candidat pourra prouver sa capacité par tout autre document considéré comme équivalent par le pouvoir adjudicateur s’il est objectivement dans l’impossibilité de produire l’un des renseignements demandés relatifs à sa capacité financière.</w:t>
      </w:r>
    </w:p>
    <w:p w14:paraId="07C0AFEA" w14:textId="77777777" w:rsidR="00E91B70" w:rsidRDefault="00E91B70">
      <w:pPr>
        <w:pStyle w:val="RedaliaNormal"/>
      </w:pPr>
    </w:p>
    <w:p w14:paraId="0629523E" w14:textId="77777777" w:rsidR="00E91B70" w:rsidRDefault="0050236C">
      <w:pPr>
        <w:pStyle w:val="RedaliaNormal"/>
      </w:pPr>
      <w:r>
        <w:t xml:space="preserve">Si, pour justifier de ses capacités, le candidat souhaite faire prévaloir les capacités professionnelles, techniques et financières d’un </w:t>
      </w:r>
      <w:r>
        <w:t>autre intervenant quel qu’il soit (sous-traitant notamment), il devra produire les pièces relatives à cet intervenant visées au présent article ci-dessus. Il devra également justifier qu’il disposera des capacités de cet intervenant pour l’exécution du marché par un engagement écrit de l’intervenant.</w:t>
      </w:r>
    </w:p>
    <w:p w14:paraId="7A44CAC5" w14:textId="77777777" w:rsidR="00E91B70" w:rsidRDefault="00E91B70">
      <w:pPr>
        <w:pStyle w:val="RedaliaNormal"/>
      </w:pPr>
    </w:p>
    <w:p w14:paraId="3C23D4E3" w14:textId="77777777" w:rsidR="00E91B70" w:rsidRDefault="0050236C">
      <w:pPr>
        <w:pStyle w:val="RedaliaNormal"/>
      </w:pPr>
      <w:r>
        <w:t xml:space="preserve">En vertu de l’article R. 2143-16 du Code de la commande publique, dans le cadre de leur candidature, il est exigé que les candidats joignent une traduction en français aux éléments rédigés dans une autre </w:t>
      </w:r>
      <w:r>
        <w:t>langue.</w:t>
      </w:r>
    </w:p>
    <w:p w14:paraId="45AAE2E7" w14:textId="77777777" w:rsidR="00E91B70" w:rsidRDefault="00E91B70">
      <w:pPr>
        <w:pStyle w:val="RedaliaNormal"/>
      </w:pPr>
    </w:p>
    <w:p w14:paraId="47CF9AF9" w14:textId="77777777" w:rsidR="00E91B70" w:rsidRDefault="0050236C">
      <w:pPr>
        <w:pStyle w:val="RedaliaNormal"/>
      </w:pPr>
      <w:r>
        <w:t>Il est porté à l’attention des candidats que, conformément aux dispositions de l’article R. 2143-13 du Code de la commande publique, ils ne sont pas tenus de fournir les documents justificatifs et moyens de preuve que l’acheteur peut obtenir directement par le biais :</w:t>
      </w:r>
    </w:p>
    <w:p w14:paraId="0279213F" w14:textId="77777777" w:rsidR="00E91B70" w:rsidRDefault="0050236C">
      <w:pPr>
        <w:pStyle w:val="RedaliaRetraitavecpuce"/>
      </w:pPr>
      <w:r>
        <w:t xml:space="preserve">D'un système électronique de mise à disposition d'informations administré par un organisme officiel à condition que l'accès à celui-ci soit gratuit et, le cas échéant, que figurent dans le dossier de candidature toutes les </w:t>
      </w:r>
      <w:r>
        <w:t>informations nécessaires à sa consultation ;</w:t>
      </w:r>
    </w:p>
    <w:p w14:paraId="7BFD18BE" w14:textId="77777777" w:rsidR="00E91B70" w:rsidRDefault="0050236C">
      <w:pPr>
        <w:pStyle w:val="RedaliaRetraitavecpuce"/>
      </w:pPr>
      <w:r>
        <w:t>D'un espace de stockage numérique, à condition que figurent dans le dossier de candidature toutes les informations nécessaires à sa consultation et que l'accès à ceux-ci soit gratuit.</w:t>
      </w:r>
    </w:p>
    <w:p w14:paraId="37AB2D55" w14:textId="77777777" w:rsidR="00E91B70" w:rsidRDefault="00E91B70">
      <w:pPr>
        <w:pStyle w:val="RedaliaNormal"/>
      </w:pPr>
    </w:p>
    <w:p w14:paraId="3CF6ED78" w14:textId="77777777" w:rsidR="00E91B70" w:rsidRDefault="0050236C">
      <w:pPr>
        <w:pStyle w:val="RedaliaNormal"/>
      </w:pPr>
      <w:r>
        <w:t>Les candidats sont invités à utiliser le coffre-fort électronique disponible gratuitement depuis leur compte sur : https://demat-ampa.fr.</w:t>
      </w:r>
    </w:p>
    <w:p w14:paraId="6800FB65" w14:textId="77777777" w:rsidR="00E91B70" w:rsidRDefault="00E91B70">
      <w:pPr>
        <w:pStyle w:val="RedaliaNormal"/>
      </w:pPr>
    </w:p>
    <w:p w14:paraId="08B933A0" w14:textId="77777777" w:rsidR="00E91B70" w:rsidRDefault="0050236C">
      <w:pPr>
        <w:pStyle w:val="RedaliaNormal"/>
      </w:pPr>
      <w:r>
        <w:t xml:space="preserve">De plus, conformément aux dispositions de l’article R. 2143-14 du Code de la commande publique, les candidats ne sont pas tenus de fournir au </w:t>
      </w:r>
      <w:r>
        <w:t>pouvoir adjudicateur les documents justificatifs et moyens de preuve qui ont déjà été transmis lors d'une précédente consultation et qui demeurent valables.</w:t>
      </w:r>
    </w:p>
    <w:p w14:paraId="43FE441C" w14:textId="77777777" w:rsidR="00E91B70" w:rsidRDefault="00E91B70">
      <w:pPr>
        <w:pStyle w:val="RedaliaNormal"/>
      </w:pPr>
    </w:p>
    <w:p w14:paraId="0C87CEDA" w14:textId="77777777" w:rsidR="00E91B70" w:rsidRDefault="0050236C">
      <w:pPr>
        <w:pStyle w:val="RedaliaNormal"/>
      </w:pPr>
      <w:r>
        <w:t xml:space="preserve">Enfin, selon les dispositions de l’article R. 2143-4 du Code de la commande publique, le pouvoir adjudicateur accepte que les candidats présentent leur candidature sous la forme d’un document unique de marché européen (DUME) établi conformément au modèle fixé par le règlement de la Commission européenne établissant le formulaire type pour le document </w:t>
      </w:r>
      <w:r>
        <w:t>unique de marché européen, en lieu et place de la déclaration sur l'honneur et des renseignements mentionnés à l'article R. 2143-3.</w:t>
      </w:r>
    </w:p>
    <w:p w14:paraId="51172B28" w14:textId="77777777" w:rsidR="00E91B70" w:rsidRDefault="0050236C">
      <w:pPr>
        <w:pStyle w:val="RedaliaNormal"/>
      </w:pPr>
      <w:r>
        <w:t xml:space="preserve">Les candidats peuvent constituer ou réutiliser un DUME dans sa version électronique via l’une des url suivantes : </w:t>
      </w:r>
      <w:hyperlink r:id="rId31" w:history="1">
        <w:r>
          <w:rPr>
            <w:rStyle w:val="Lienhypertexte"/>
          </w:rPr>
          <w:t>https://ec.europa.eu/tools/espd/</w:t>
        </w:r>
      </w:hyperlink>
      <w:r>
        <w:t xml:space="preserve"> OU </w:t>
      </w:r>
      <w:hyperlink r:id="rId32" w:history="1">
        <w:r>
          <w:rPr>
            <w:rStyle w:val="Lienhypertexte"/>
          </w:rPr>
          <w:t>https://dume.chorus-pro.gouv.fr/</w:t>
        </w:r>
      </w:hyperlink>
    </w:p>
    <w:p w14:paraId="00DF6C96" w14:textId="77777777" w:rsidR="00E91B70" w:rsidRDefault="0050236C">
      <w:pPr>
        <w:pStyle w:val="RedaliaNormal"/>
      </w:pPr>
      <w:r>
        <w:t>Il est précisé que le pouvoir adjudicateur n’autorise pas les candidats à se limiter à indiquer</w:t>
      </w:r>
      <w:r>
        <w:t xml:space="preserve"> dans le document unique de marché européen qu’ils disposent de l’aptitude et des capacités requises sans fournir d’informations particulières sur celles-ci.</w:t>
      </w:r>
    </w:p>
    <w:p w14:paraId="3B4B5100" w14:textId="77777777" w:rsidR="00274139" w:rsidRDefault="00274139">
      <w:pPr>
        <w:pStyle w:val="RedaliaNormal"/>
      </w:pPr>
    </w:p>
    <w:p w14:paraId="16555BCF" w14:textId="77777777" w:rsidR="00E91B70" w:rsidRDefault="00E91B70">
      <w:pPr>
        <w:pStyle w:val="RedaliaNormal"/>
      </w:pPr>
    </w:p>
    <w:p w14:paraId="63AFD935" w14:textId="77777777" w:rsidR="00E91B70" w:rsidRDefault="0050236C">
      <w:pPr>
        <w:pStyle w:val="RedaliaNormal"/>
      </w:pPr>
      <w:r>
        <w:rPr>
          <w:u w:val="single"/>
        </w:rPr>
        <w:lastRenderedPageBreak/>
        <w:t>Service DUME</w:t>
      </w:r>
      <w:r>
        <w:t> :</w:t>
      </w:r>
    </w:p>
    <w:p w14:paraId="6C2CB6C2" w14:textId="77777777" w:rsidR="00E91B70" w:rsidRDefault="00E91B70">
      <w:pPr>
        <w:pStyle w:val="RedaliaNormal"/>
      </w:pPr>
    </w:p>
    <w:p w14:paraId="0A6C133C" w14:textId="77777777" w:rsidR="00E91B70" w:rsidRDefault="0050236C">
      <w:pPr>
        <w:pStyle w:val="RedaliaNormal"/>
      </w:pPr>
      <w:r>
        <w:t xml:space="preserve">Cette consultation est éligible au dispositif ‘Service DUME’ (ex MPS - Marché Public Simplifié) accessible sur l’url suivante : </w:t>
      </w:r>
      <w:hyperlink r:id="rId33" w:history="1">
        <w:r>
          <w:rPr>
            <w:rStyle w:val="Lienhypertexte"/>
          </w:rPr>
          <w:t>https://dume.chorus-pro.gouv.fr/#/</w:t>
        </w:r>
      </w:hyperlink>
    </w:p>
    <w:p w14:paraId="6F2AA7DB" w14:textId="77777777" w:rsidR="00E91B70" w:rsidRDefault="0050236C">
      <w:pPr>
        <w:pStyle w:val="RedaliaNormal"/>
      </w:pPr>
      <w:r>
        <w:t xml:space="preserve">Par ce dispositif, les candidats postuleront à la consultation par le biais d’un DUME (Document Unique de Marché </w:t>
      </w:r>
      <w:r>
        <w:t xml:space="preserve">Européen). Ce DUME sera </w:t>
      </w:r>
      <w:proofErr w:type="spellStart"/>
      <w:r>
        <w:t>pré-rempli</w:t>
      </w:r>
      <w:proofErr w:type="spellEnd"/>
      <w:r>
        <w:t xml:space="preserve"> sur la base du seul numéro SIRET et permettra :</w:t>
      </w:r>
    </w:p>
    <w:p w14:paraId="52766C33" w14:textId="77777777" w:rsidR="00E91B70" w:rsidRDefault="0050236C">
      <w:pPr>
        <w:pStyle w:val="RedaliaRetraitavecpuce"/>
      </w:pPr>
      <w:r>
        <w:t>De bénéficier d’une reprise des données légales de l’entreprise (raison sociale, adresse, mandataires sociaux) ;</w:t>
      </w:r>
    </w:p>
    <w:p w14:paraId="2421D33F" w14:textId="77777777" w:rsidR="00E91B70" w:rsidRDefault="0050236C">
      <w:pPr>
        <w:pStyle w:val="RedaliaRetraitavecpuce"/>
      </w:pPr>
      <w:r>
        <w:t>De bénéficier d'une reprise des données concernant la taille de l'entreprise et son chiffre d’affaires global ;</w:t>
      </w:r>
    </w:p>
    <w:p w14:paraId="40B1CEE2" w14:textId="77777777" w:rsidR="00E91B70" w:rsidRDefault="0050236C">
      <w:pPr>
        <w:pStyle w:val="RedaliaRetraitavecpuce"/>
      </w:pPr>
      <w:r>
        <w:t>D'attester du respect des obligations sociales et fiscales grâce à une requête automatisée auprès des administrations concernées (DGFIP, ACOSS).</w:t>
      </w:r>
    </w:p>
    <w:p w14:paraId="005A9A62" w14:textId="77777777" w:rsidR="00E91B70" w:rsidRDefault="00E91B70">
      <w:pPr>
        <w:pStyle w:val="RedaliaNormal"/>
      </w:pPr>
    </w:p>
    <w:p w14:paraId="2EE152C2" w14:textId="77777777" w:rsidR="00E91B70" w:rsidRDefault="0050236C">
      <w:pPr>
        <w:pStyle w:val="RedaliaNormal"/>
      </w:pPr>
      <w:r>
        <w:t xml:space="preserve">Les autres informations éventuelles devront être </w:t>
      </w:r>
      <w:r>
        <w:t>complétées.</w:t>
      </w:r>
    </w:p>
    <w:p w14:paraId="153095F3" w14:textId="77777777" w:rsidR="00E91B70" w:rsidRDefault="0050236C">
      <w:pPr>
        <w:pStyle w:val="RedaliaNormal"/>
      </w:pPr>
      <w:r>
        <w:t>Attention, les candidats devront joindre leur offre technique et commerciale ainsi que les documents de la candidature qui ne seraient pas dans le formulaire DUME.</w:t>
      </w:r>
    </w:p>
    <w:p w14:paraId="03F5595B" w14:textId="77777777" w:rsidR="00E91B70" w:rsidRDefault="0050236C">
      <w:pPr>
        <w:pStyle w:val="RedaliaTitre2"/>
      </w:pPr>
      <w:bookmarkStart w:id="37" w:name="__RefHeading___Toc914_1227691514"/>
      <w:r>
        <w:t>Éléments nécessaires au choix de l’offre</w:t>
      </w:r>
      <w:bookmarkEnd w:id="37"/>
    </w:p>
    <w:p w14:paraId="7671B5DF" w14:textId="77777777" w:rsidR="00E91B70" w:rsidRDefault="0050236C">
      <w:pPr>
        <w:pStyle w:val="RedaliaNormal"/>
      </w:pPr>
      <w:r>
        <w:t>Pour le choix de l'offre, les candidats doivent produire les documents suivants :</w:t>
      </w:r>
    </w:p>
    <w:p w14:paraId="035B2699" w14:textId="77777777" w:rsidR="00E91B70" w:rsidRDefault="0050236C">
      <w:pPr>
        <w:pStyle w:val="RedaliaRetraitavecpuce"/>
      </w:pPr>
      <w:r>
        <w:t>Un acte d'engagement (AE)</w:t>
      </w:r>
    </w:p>
    <w:p w14:paraId="5AE4755A" w14:textId="77777777" w:rsidR="00E91B70" w:rsidRDefault="0050236C">
      <w:pPr>
        <w:pStyle w:val="Redaliapuces"/>
        <w:numPr>
          <w:ilvl w:val="0"/>
          <w:numId w:val="0"/>
        </w:numPr>
        <w:ind w:left="284"/>
      </w:pPr>
      <w:r>
        <w:t>Le candidat précisera également la nature et le montant des prestations qu’il envisage de sous-traiter ainsi que la liste des sous-traitants qu'il se propose de présenter à l'agrément et</w:t>
      </w:r>
      <w:r>
        <w:t xml:space="preserve"> à l'acceptation du pouvoir adjudicateur.</w:t>
      </w:r>
    </w:p>
    <w:p w14:paraId="0976D943" w14:textId="77777777" w:rsidR="00E91B70" w:rsidRDefault="0050236C">
      <w:pPr>
        <w:pStyle w:val="RedaliaRetraitavecpuce"/>
      </w:pPr>
      <w:r>
        <w:t>La décomposition du prix global forfaitaire.</w:t>
      </w:r>
    </w:p>
    <w:p w14:paraId="6F4DF427" w14:textId="77777777" w:rsidR="00274139" w:rsidRDefault="0050236C">
      <w:pPr>
        <w:pStyle w:val="RedaliaRetraitavecpuce"/>
      </w:pPr>
      <w:r>
        <w:t xml:space="preserve">Une note méthodologique ou un mémoire technique qui contiendra : </w:t>
      </w:r>
    </w:p>
    <w:p w14:paraId="2F799178" w14:textId="536F48F0" w:rsidR="00E91B70" w:rsidRDefault="0050236C" w:rsidP="00274139">
      <w:pPr>
        <w:pStyle w:val="RedaliaRetraitavecpuce"/>
        <w:numPr>
          <w:ilvl w:val="0"/>
          <w:numId w:val="0"/>
        </w:numPr>
        <w:ind w:left="360"/>
      </w:pPr>
      <w:r>
        <w:t>Qualité technique des matériaux avec fiches</w:t>
      </w:r>
    </w:p>
    <w:p w14:paraId="65CE6FEC" w14:textId="77777777" w:rsidR="00E91B70" w:rsidRDefault="0050236C">
      <w:pPr>
        <w:pStyle w:val="RedaliaRetraitavecpuce"/>
        <w:numPr>
          <w:ilvl w:val="0"/>
          <w:numId w:val="0"/>
        </w:numPr>
        <w:ind w:left="720" w:hanging="360"/>
      </w:pPr>
      <w:r>
        <w:t>Planning délais d'intervention</w:t>
      </w:r>
    </w:p>
    <w:p w14:paraId="3BA8ADF1" w14:textId="77777777" w:rsidR="00E91B70" w:rsidRDefault="0050236C">
      <w:pPr>
        <w:pStyle w:val="RedaliaRetraitavecpuce"/>
        <w:numPr>
          <w:ilvl w:val="0"/>
          <w:numId w:val="0"/>
        </w:numPr>
        <w:ind w:left="720" w:hanging="360"/>
      </w:pPr>
      <w:r>
        <w:t>Organisation des travaux en site occupé</w:t>
      </w:r>
    </w:p>
    <w:p w14:paraId="5125BE08" w14:textId="77777777" w:rsidR="00E91B70" w:rsidRDefault="0050236C">
      <w:pPr>
        <w:pStyle w:val="RedaliaRetraitavecpuce"/>
        <w:numPr>
          <w:ilvl w:val="0"/>
          <w:numId w:val="0"/>
        </w:numPr>
        <w:ind w:left="720" w:hanging="360"/>
      </w:pPr>
      <w:r>
        <w:t>Gestion environnementale.</w:t>
      </w:r>
    </w:p>
    <w:p w14:paraId="2FF81DB0" w14:textId="77777777" w:rsidR="00E91B70" w:rsidRDefault="00E91B70">
      <w:pPr>
        <w:pStyle w:val="RedaliaNormal"/>
      </w:pPr>
    </w:p>
    <w:p w14:paraId="5C97A82D" w14:textId="77777777" w:rsidR="00E91B70" w:rsidRDefault="0050236C">
      <w:pPr>
        <w:pStyle w:val="RedaliaNormal"/>
      </w:pPr>
      <w:r>
        <w:t>Le CCAP et les documents remis par le pouvoir adjudicateur, à l’exception de ceux visés ci-dessus et leurs annexes ne sont pas à remettre dans l’offre. Seuls les documents détenus par le pouvoir adjudicateur font foi.</w:t>
      </w:r>
    </w:p>
    <w:p w14:paraId="411BABE0" w14:textId="77777777" w:rsidR="00E91B70" w:rsidRDefault="00E91B70">
      <w:pPr>
        <w:pStyle w:val="RedaliaNormal"/>
      </w:pPr>
    </w:p>
    <w:p w14:paraId="5D9D8EEF" w14:textId="77777777" w:rsidR="00E91B70" w:rsidRDefault="0050236C">
      <w:pPr>
        <w:pStyle w:val="RedaliaNormal"/>
      </w:pPr>
      <w:r>
        <w:t>Il est rappelé aux candidats que la signature de l’acte d’engagement vaut acceptation de toutes les pièces contractuelles.</w:t>
      </w:r>
    </w:p>
    <w:p w14:paraId="00814982" w14:textId="77777777" w:rsidR="00E91B70" w:rsidRDefault="0050236C">
      <w:pPr>
        <w:pStyle w:val="RedaliaTitre1"/>
      </w:pPr>
      <w:bookmarkStart w:id="38" w:name="_Toc191310584"/>
      <w:bookmarkStart w:id="39" w:name="__RefHeading___Toc916_1227691514"/>
      <w:bookmarkEnd w:id="38"/>
      <w:r>
        <w:t>Jugement des candidatures, des offres et attribution du marché</w:t>
      </w:r>
      <w:bookmarkEnd w:id="39"/>
    </w:p>
    <w:p w14:paraId="7AEDBC2A" w14:textId="77777777" w:rsidR="00E91B70" w:rsidRDefault="0050236C">
      <w:pPr>
        <w:pStyle w:val="RedaliaTitre2"/>
      </w:pPr>
      <w:bookmarkStart w:id="40" w:name="__RefHeading___Toc918_1227691514"/>
      <w:r>
        <w:t>Jugement des candidatures</w:t>
      </w:r>
      <w:bookmarkEnd w:id="40"/>
    </w:p>
    <w:p w14:paraId="0D58A374" w14:textId="77777777" w:rsidR="00E91B70" w:rsidRDefault="0050236C">
      <w:pPr>
        <w:pStyle w:val="RedaliaNormal"/>
      </w:pPr>
      <w:r>
        <w:t xml:space="preserve">Les critères relatifs à la candidature et intervenant pour la sélection sont les </w:t>
      </w:r>
      <w:r>
        <w:rPr>
          <w:b/>
          <w:bCs/>
        </w:rPr>
        <w:t>capacités techniques, financières et professionnelles</w:t>
      </w:r>
      <w:r>
        <w:t>.</w:t>
      </w:r>
    </w:p>
    <w:p w14:paraId="1C835277" w14:textId="77777777" w:rsidR="00E91B70" w:rsidRDefault="00E91B70">
      <w:pPr>
        <w:pStyle w:val="RedaliaNormal"/>
      </w:pPr>
    </w:p>
    <w:p w14:paraId="74FF50FB" w14:textId="77777777" w:rsidR="00E91B70" w:rsidRDefault="0050236C">
      <w:pPr>
        <w:pStyle w:val="RedaliaNormal"/>
      </w:pPr>
      <w:r>
        <w:t xml:space="preserve">Conformément à l’article R. 2144-3 du Code de la commande publique, la vérification de l’aptitude à exercer l’activité professionnelle, de la capacité </w:t>
      </w:r>
      <w:r>
        <w:t xml:space="preserve">économique et financière et des capacités techniques et professionnelles des candidats pourra être effectuée à tout moment </w:t>
      </w:r>
      <w:r>
        <w:lastRenderedPageBreak/>
        <w:t>de la procédure et au plus tard avant l’attribution du marché.</w:t>
      </w:r>
    </w:p>
    <w:p w14:paraId="01D29E68" w14:textId="77777777" w:rsidR="00E91B70" w:rsidRDefault="0050236C">
      <w:pPr>
        <w:pStyle w:val="RedaliaTitre2"/>
      </w:pPr>
      <w:bookmarkStart w:id="41" w:name="__RefHeading___Toc920_1227691514"/>
      <w:r>
        <w:t>Jugement des offres</w:t>
      </w:r>
      <w:bookmarkEnd w:id="41"/>
    </w:p>
    <w:p w14:paraId="08139A95" w14:textId="77777777" w:rsidR="00E91B70" w:rsidRDefault="0050236C">
      <w:pPr>
        <w:pStyle w:val="RedaliaNormal"/>
        <w:tabs>
          <w:tab w:val="left" w:pos="1980"/>
        </w:tabs>
      </w:pPr>
      <w:r>
        <w:t>Les critères intervenant pour le jugement des offres sont pondérés de la manière suivante :</w:t>
      </w:r>
    </w:p>
    <w:p w14:paraId="731DEC58" w14:textId="77777777" w:rsidR="00E91B70" w:rsidRDefault="00E91B70">
      <w:pPr>
        <w:pStyle w:val="RedaliaNormal"/>
        <w:tabs>
          <w:tab w:val="left" w:pos="1980"/>
        </w:tabs>
      </w:pPr>
    </w:p>
    <w:tbl>
      <w:tblPr>
        <w:tblW w:w="9071" w:type="dxa"/>
        <w:jc w:val="center"/>
        <w:tblLayout w:type="fixed"/>
        <w:tblCellMar>
          <w:left w:w="10" w:type="dxa"/>
          <w:right w:w="10" w:type="dxa"/>
        </w:tblCellMar>
        <w:tblLook w:val="0000" w:firstRow="0" w:lastRow="0" w:firstColumn="0" w:lastColumn="0" w:noHBand="0" w:noVBand="0"/>
      </w:tblPr>
      <w:tblGrid>
        <w:gridCol w:w="1701"/>
        <w:gridCol w:w="425"/>
        <w:gridCol w:w="4819"/>
        <w:gridCol w:w="2126"/>
      </w:tblGrid>
      <w:tr w:rsidR="00E91B70" w14:paraId="686E9AB9" w14:textId="77777777">
        <w:tblPrEx>
          <w:tblCellMar>
            <w:top w:w="0" w:type="dxa"/>
            <w:bottom w:w="0" w:type="dxa"/>
          </w:tblCellMar>
        </w:tblPrEx>
        <w:trPr>
          <w:trHeight w:val="454"/>
          <w:jc w:val="center"/>
        </w:trPr>
        <w:tc>
          <w:tcPr>
            <w:tcW w:w="6945" w:type="dxa"/>
            <w:gridSpan w:val="3"/>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5E00CEDD" w14:textId="77777777" w:rsidR="00E91B70" w:rsidRDefault="0050236C">
            <w:pPr>
              <w:pStyle w:val="RedaliaNormal"/>
              <w:jc w:val="center"/>
              <w:rPr>
                <w:b/>
                <w:bCs/>
              </w:rPr>
            </w:pPr>
            <w:r>
              <w:rPr>
                <w:b/>
                <w:bCs/>
              </w:rPr>
              <w:t>Critères</w:t>
            </w:r>
          </w:p>
        </w:tc>
        <w:tc>
          <w:tcPr>
            <w:tcW w:w="212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600CDC5C" w14:textId="77777777" w:rsidR="00E91B70" w:rsidRDefault="0050236C">
            <w:pPr>
              <w:pStyle w:val="RedaliaNormal"/>
              <w:jc w:val="center"/>
              <w:rPr>
                <w:b/>
                <w:bCs/>
              </w:rPr>
            </w:pPr>
            <w:r>
              <w:rPr>
                <w:b/>
                <w:bCs/>
              </w:rPr>
              <w:t>Pondération</w:t>
            </w:r>
          </w:p>
        </w:tc>
      </w:tr>
      <w:tr w:rsidR="00E91B70" w14:paraId="2641B099" w14:textId="77777777">
        <w:tblPrEx>
          <w:tblCellMar>
            <w:top w:w="0" w:type="dxa"/>
            <w:bottom w:w="0" w:type="dxa"/>
          </w:tblCellMar>
        </w:tblPrEx>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6329B39" w14:textId="77777777" w:rsidR="00E91B70" w:rsidRDefault="0050236C">
            <w:pPr>
              <w:pStyle w:val="RedaliaNormal"/>
              <w:jc w:val="center"/>
              <w:rPr>
                <w:b/>
                <w:bCs/>
                <w:sz w:val="20"/>
                <w:szCs w:val="18"/>
              </w:rPr>
            </w:pPr>
            <w:r>
              <w:rPr>
                <w:b/>
                <w:bCs/>
                <w:sz w:val="20"/>
                <w:szCs w:val="18"/>
              </w:rPr>
              <w:t>Prix</w:t>
            </w:r>
          </w:p>
          <w:p w14:paraId="0E79C8C1" w14:textId="5A47B193" w:rsidR="00E91B70" w:rsidRDefault="0050236C">
            <w:pPr>
              <w:pStyle w:val="RedaliaNormal"/>
              <w:jc w:val="center"/>
              <w:rPr>
                <w:sz w:val="20"/>
                <w:szCs w:val="18"/>
              </w:rPr>
            </w:pPr>
            <w:r>
              <w:rPr>
                <w:sz w:val="20"/>
                <w:szCs w:val="18"/>
              </w:rPr>
              <w:t xml:space="preserve">Ce critère est noté selon la formule de notation : Note du Prix = (Montant HT de l'offre la plus basse / Montant HT de l'offre examinée) x Nombre de point de la </w:t>
            </w:r>
            <w:r>
              <w:rPr>
                <w:sz w:val="20"/>
                <w:szCs w:val="18"/>
              </w:rPr>
              <w:t>pondération.</w:t>
            </w: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71174F14" w14:textId="77777777" w:rsidR="00E91B70" w:rsidRDefault="0050236C">
            <w:pPr>
              <w:pStyle w:val="RedaliaNormal"/>
              <w:jc w:val="center"/>
              <w:rPr>
                <w:b/>
                <w:bCs/>
                <w:sz w:val="20"/>
                <w:szCs w:val="18"/>
              </w:rPr>
            </w:pPr>
            <w:r>
              <w:rPr>
                <w:b/>
                <w:bCs/>
                <w:sz w:val="20"/>
                <w:szCs w:val="18"/>
              </w:rPr>
              <w:t>50 %</w:t>
            </w:r>
          </w:p>
        </w:tc>
      </w:tr>
      <w:tr w:rsidR="00E91B70" w14:paraId="76A8E2D8" w14:textId="77777777">
        <w:tblPrEx>
          <w:tblCellMar>
            <w:top w:w="0" w:type="dxa"/>
            <w:bottom w:w="0" w:type="dxa"/>
          </w:tblCellMar>
        </w:tblPrEx>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1209AA6" w14:textId="77777777" w:rsidR="00E91B70" w:rsidRDefault="0050236C">
            <w:pPr>
              <w:pStyle w:val="RedaliaNormal"/>
              <w:jc w:val="center"/>
              <w:rPr>
                <w:b/>
                <w:bCs/>
                <w:sz w:val="20"/>
                <w:szCs w:val="18"/>
              </w:rPr>
            </w:pPr>
            <w:r>
              <w:rPr>
                <w:b/>
                <w:bCs/>
                <w:sz w:val="20"/>
                <w:szCs w:val="18"/>
              </w:rPr>
              <w:t>Valeur technique</w:t>
            </w:r>
          </w:p>
          <w:p w14:paraId="1AD9AD92" w14:textId="77777777" w:rsidR="00E91B70" w:rsidRDefault="00E91B70">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BE476A8" w14:textId="77777777" w:rsidR="00E91B70" w:rsidRDefault="0050236C">
            <w:pPr>
              <w:pStyle w:val="RedaliaNormal"/>
              <w:jc w:val="center"/>
              <w:rPr>
                <w:b/>
                <w:bCs/>
                <w:sz w:val="20"/>
                <w:szCs w:val="18"/>
              </w:rPr>
            </w:pPr>
            <w:r>
              <w:rPr>
                <w:b/>
                <w:bCs/>
                <w:sz w:val="20"/>
                <w:szCs w:val="18"/>
              </w:rPr>
              <w:t>40 %</w:t>
            </w:r>
          </w:p>
        </w:tc>
      </w:tr>
      <w:tr w:rsidR="00E91B70" w14:paraId="22FC94B0" w14:textId="77777777">
        <w:tblPrEx>
          <w:tblCellMar>
            <w:top w:w="0" w:type="dxa"/>
            <w:bottom w:w="0" w:type="dxa"/>
          </w:tblCellMar>
        </w:tblPrEx>
        <w:trPr>
          <w:trHeight w:val="340"/>
          <w:jc w:val="center"/>
        </w:trPr>
        <w:tc>
          <w:tcPr>
            <w:tcW w:w="1701" w:type="dxa"/>
            <w:tcBorders>
              <w:left w:val="single" w:sz="4" w:space="0" w:color="000000"/>
            </w:tcBorders>
            <w:tcMar>
              <w:top w:w="0" w:type="dxa"/>
              <w:left w:w="108" w:type="dxa"/>
              <w:bottom w:w="0" w:type="dxa"/>
              <w:right w:w="108" w:type="dxa"/>
            </w:tcMar>
            <w:vAlign w:val="center"/>
          </w:tcPr>
          <w:p w14:paraId="4813742D" w14:textId="77777777" w:rsidR="00E91B70" w:rsidRDefault="0050236C">
            <w:pPr>
              <w:pStyle w:val="RedaliaNormal"/>
              <w:jc w:val="center"/>
              <w:rPr>
                <w:i/>
                <w:iCs/>
                <w:sz w:val="20"/>
                <w:szCs w:val="18"/>
              </w:rPr>
            </w:pPr>
            <w:r>
              <w:rPr>
                <w:i/>
                <w:iCs/>
                <w:sz w:val="20"/>
                <w:szCs w:val="18"/>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2D5CB7FE" w14:textId="77777777" w:rsidR="00E91B70" w:rsidRDefault="0050236C">
            <w:pPr>
              <w:pStyle w:val="RedaliaNormal"/>
              <w:jc w:val="left"/>
              <w:rPr>
                <w:i/>
                <w:iCs/>
                <w:sz w:val="20"/>
                <w:szCs w:val="18"/>
              </w:rPr>
            </w:pPr>
            <w:r>
              <w:rPr>
                <w:i/>
                <w:iCs/>
                <w:sz w:val="20"/>
                <w:szCs w:val="18"/>
              </w:rPr>
              <w:t>Organisation des travaux en site occupé</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590B565A" w14:textId="77777777" w:rsidR="00E91B70" w:rsidRDefault="0050236C">
            <w:pPr>
              <w:pStyle w:val="RedaliaNormal"/>
              <w:jc w:val="center"/>
              <w:rPr>
                <w:i/>
                <w:iCs/>
                <w:sz w:val="20"/>
                <w:szCs w:val="18"/>
              </w:rPr>
            </w:pPr>
            <w:r>
              <w:rPr>
                <w:i/>
                <w:iCs/>
                <w:sz w:val="20"/>
                <w:szCs w:val="18"/>
              </w:rPr>
              <w:t>15 %</w:t>
            </w:r>
          </w:p>
        </w:tc>
      </w:tr>
      <w:tr w:rsidR="00E91B70" w14:paraId="0B2E6049" w14:textId="77777777">
        <w:tblPrEx>
          <w:tblCellMar>
            <w:top w:w="0" w:type="dxa"/>
            <w:bottom w:w="0" w:type="dxa"/>
          </w:tblCellMar>
        </w:tblPrEx>
        <w:trPr>
          <w:trHeight w:val="340"/>
          <w:jc w:val="center"/>
        </w:trPr>
        <w:tc>
          <w:tcPr>
            <w:tcW w:w="1701" w:type="dxa"/>
            <w:tcBorders>
              <w:left w:val="single" w:sz="4" w:space="0" w:color="000000"/>
            </w:tcBorders>
            <w:tcMar>
              <w:top w:w="0" w:type="dxa"/>
              <w:left w:w="108" w:type="dxa"/>
              <w:bottom w:w="0" w:type="dxa"/>
              <w:right w:w="108" w:type="dxa"/>
            </w:tcMar>
            <w:vAlign w:val="center"/>
          </w:tcPr>
          <w:p w14:paraId="4EE0DD2F" w14:textId="77777777" w:rsidR="00E91B70" w:rsidRDefault="0050236C">
            <w:pPr>
              <w:pStyle w:val="RedaliaNormal"/>
              <w:jc w:val="center"/>
              <w:rPr>
                <w:i/>
                <w:iCs/>
                <w:sz w:val="20"/>
                <w:szCs w:val="18"/>
              </w:rPr>
            </w:pPr>
            <w:r>
              <w:rPr>
                <w:i/>
                <w:iCs/>
                <w:sz w:val="20"/>
                <w:szCs w:val="18"/>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23922539" w14:textId="77777777" w:rsidR="00E91B70" w:rsidRDefault="0050236C">
            <w:pPr>
              <w:pStyle w:val="RedaliaNormal"/>
              <w:jc w:val="left"/>
              <w:rPr>
                <w:i/>
                <w:iCs/>
                <w:sz w:val="20"/>
                <w:szCs w:val="18"/>
              </w:rPr>
            </w:pPr>
            <w:r>
              <w:rPr>
                <w:i/>
                <w:iCs/>
                <w:sz w:val="20"/>
                <w:szCs w:val="18"/>
              </w:rPr>
              <w:t>Qualité technique des matériaux</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38AACAAF" w14:textId="77777777" w:rsidR="00E91B70" w:rsidRDefault="0050236C">
            <w:pPr>
              <w:pStyle w:val="RedaliaNormal"/>
              <w:jc w:val="center"/>
              <w:rPr>
                <w:i/>
                <w:iCs/>
                <w:sz w:val="20"/>
                <w:szCs w:val="18"/>
              </w:rPr>
            </w:pPr>
            <w:r>
              <w:rPr>
                <w:i/>
                <w:iCs/>
                <w:sz w:val="20"/>
                <w:szCs w:val="18"/>
              </w:rPr>
              <w:t>15 %</w:t>
            </w:r>
          </w:p>
        </w:tc>
      </w:tr>
      <w:tr w:rsidR="00E91B70" w14:paraId="7792922D" w14:textId="77777777">
        <w:tblPrEx>
          <w:tblCellMar>
            <w:top w:w="0" w:type="dxa"/>
            <w:bottom w:w="0" w:type="dxa"/>
          </w:tblCellMar>
        </w:tblPrEx>
        <w:trPr>
          <w:trHeight w:val="340"/>
          <w:jc w:val="center"/>
        </w:trPr>
        <w:tc>
          <w:tcPr>
            <w:tcW w:w="1701" w:type="dxa"/>
            <w:tcBorders>
              <w:left w:val="single" w:sz="4" w:space="0" w:color="000000"/>
            </w:tcBorders>
            <w:tcMar>
              <w:top w:w="0" w:type="dxa"/>
              <w:left w:w="108" w:type="dxa"/>
              <w:bottom w:w="0" w:type="dxa"/>
              <w:right w:w="108" w:type="dxa"/>
            </w:tcMar>
            <w:vAlign w:val="center"/>
          </w:tcPr>
          <w:p w14:paraId="0D3099A7" w14:textId="77777777" w:rsidR="00E91B70" w:rsidRDefault="0050236C">
            <w:pPr>
              <w:pStyle w:val="RedaliaNormal"/>
              <w:jc w:val="center"/>
              <w:rPr>
                <w:i/>
                <w:iCs/>
                <w:sz w:val="20"/>
                <w:szCs w:val="18"/>
              </w:rPr>
            </w:pPr>
            <w:r>
              <w:rPr>
                <w:i/>
                <w:iCs/>
                <w:sz w:val="20"/>
                <w:szCs w:val="18"/>
              </w:rPr>
              <w:t>Sous-critère :</w:t>
            </w:r>
          </w:p>
        </w:tc>
        <w:tc>
          <w:tcPr>
            <w:tcW w:w="5244" w:type="dxa"/>
            <w:gridSpan w:val="2"/>
            <w:tcBorders>
              <w:right w:val="single" w:sz="4" w:space="0" w:color="000000"/>
            </w:tcBorders>
            <w:tcMar>
              <w:top w:w="0" w:type="dxa"/>
              <w:left w:w="108" w:type="dxa"/>
              <w:bottom w:w="0" w:type="dxa"/>
              <w:right w:w="108" w:type="dxa"/>
            </w:tcMar>
            <w:vAlign w:val="center"/>
          </w:tcPr>
          <w:p w14:paraId="1C8359F0" w14:textId="77777777" w:rsidR="00E91B70" w:rsidRDefault="0050236C">
            <w:pPr>
              <w:pStyle w:val="RedaliaNormal"/>
              <w:jc w:val="left"/>
              <w:rPr>
                <w:i/>
                <w:iCs/>
                <w:sz w:val="20"/>
                <w:szCs w:val="18"/>
              </w:rPr>
            </w:pPr>
            <w:r>
              <w:rPr>
                <w:i/>
                <w:iCs/>
                <w:sz w:val="20"/>
                <w:szCs w:val="18"/>
              </w:rPr>
              <w:t>Délai</w:t>
            </w:r>
          </w:p>
        </w:tc>
        <w:tc>
          <w:tcPr>
            <w:tcW w:w="2126" w:type="dxa"/>
            <w:tcBorders>
              <w:left w:val="single" w:sz="4" w:space="0" w:color="000000"/>
              <w:right w:val="single" w:sz="4" w:space="0" w:color="000000"/>
            </w:tcBorders>
            <w:tcMar>
              <w:top w:w="0" w:type="dxa"/>
              <w:left w:w="108" w:type="dxa"/>
              <w:bottom w:w="0" w:type="dxa"/>
              <w:right w:w="108" w:type="dxa"/>
            </w:tcMar>
            <w:vAlign w:val="center"/>
          </w:tcPr>
          <w:p w14:paraId="761DFD7D" w14:textId="77777777" w:rsidR="00E91B70" w:rsidRDefault="0050236C">
            <w:pPr>
              <w:pStyle w:val="RedaliaNormal"/>
              <w:jc w:val="center"/>
              <w:rPr>
                <w:i/>
                <w:iCs/>
                <w:sz w:val="20"/>
                <w:szCs w:val="18"/>
              </w:rPr>
            </w:pPr>
            <w:r>
              <w:rPr>
                <w:i/>
                <w:iCs/>
                <w:sz w:val="20"/>
                <w:szCs w:val="18"/>
              </w:rPr>
              <w:t>10 %</w:t>
            </w:r>
          </w:p>
        </w:tc>
      </w:tr>
      <w:tr w:rsidR="00E91B70" w14:paraId="7FB4B913" w14:textId="77777777">
        <w:tblPrEx>
          <w:tblCellMar>
            <w:top w:w="0" w:type="dxa"/>
            <w:bottom w:w="0" w:type="dxa"/>
          </w:tblCellMar>
        </w:tblPrEx>
        <w:trPr>
          <w:trHeight w:val="454"/>
          <w:jc w:val="center"/>
        </w:trPr>
        <w:tc>
          <w:tcPr>
            <w:tcW w:w="6945" w:type="dxa"/>
            <w:gridSpan w:val="3"/>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CFECC98" w14:textId="77777777" w:rsidR="00E91B70" w:rsidRDefault="0050236C">
            <w:pPr>
              <w:pStyle w:val="RedaliaNormal"/>
              <w:jc w:val="center"/>
              <w:rPr>
                <w:b/>
                <w:bCs/>
                <w:sz w:val="20"/>
                <w:szCs w:val="18"/>
              </w:rPr>
            </w:pPr>
            <w:r>
              <w:rPr>
                <w:b/>
                <w:bCs/>
                <w:sz w:val="20"/>
                <w:szCs w:val="18"/>
              </w:rPr>
              <w:t>Performance en matière de protection de l'environnement</w:t>
            </w:r>
          </w:p>
          <w:p w14:paraId="65FBD3FC" w14:textId="5B43F516" w:rsidR="00E91B70" w:rsidRDefault="0050236C">
            <w:pPr>
              <w:pStyle w:val="RedaliaNormal"/>
              <w:jc w:val="center"/>
              <w:rPr>
                <w:sz w:val="20"/>
                <w:szCs w:val="18"/>
              </w:rPr>
            </w:pPr>
            <w:r>
              <w:rPr>
                <w:sz w:val="20"/>
                <w:szCs w:val="18"/>
              </w:rPr>
              <w:t>Performance environnementale des menuiseries proposées (FDES, contenu recyclé, recyclabilité)</w:t>
            </w:r>
          </w:p>
          <w:p w14:paraId="0900528D" w14:textId="77777777" w:rsidR="00E91B70" w:rsidRDefault="0050236C">
            <w:pPr>
              <w:pStyle w:val="RedaliaNormal"/>
              <w:jc w:val="center"/>
              <w:rPr>
                <w:sz w:val="20"/>
                <w:szCs w:val="18"/>
              </w:rPr>
            </w:pPr>
            <w:r>
              <w:rPr>
                <w:sz w:val="20"/>
                <w:szCs w:val="18"/>
              </w:rPr>
              <w:t>Organisation de la gestion des déchets et valorisation des anciennes menuiseries</w:t>
            </w:r>
          </w:p>
          <w:p w14:paraId="6C6BA331" w14:textId="77777777" w:rsidR="00E91B70" w:rsidRDefault="0050236C">
            <w:pPr>
              <w:pStyle w:val="RedaliaNormal"/>
              <w:jc w:val="center"/>
              <w:rPr>
                <w:sz w:val="20"/>
                <w:szCs w:val="18"/>
              </w:rPr>
            </w:pPr>
            <w:r>
              <w:rPr>
                <w:sz w:val="20"/>
                <w:szCs w:val="18"/>
              </w:rPr>
              <w:t>Mesures de réduction de l'empreinte carbone du chantier</w:t>
            </w:r>
          </w:p>
          <w:p w14:paraId="786082F0" w14:textId="77777777" w:rsidR="00E91B70" w:rsidRDefault="00E91B70">
            <w:pPr>
              <w:pStyle w:val="RedaliaNormal"/>
              <w:jc w:val="center"/>
              <w:rPr>
                <w:sz w:val="20"/>
                <w:szCs w:val="18"/>
              </w:rPr>
            </w:pPr>
          </w:p>
        </w:tc>
        <w:tc>
          <w:tcPr>
            <w:tcW w:w="2126"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298C2002" w14:textId="77777777" w:rsidR="00E91B70" w:rsidRDefault="0050236C">
            <w:pPr>
              <w:pStyle w:val="RedaliaNormal"/>
              <w:jc w:val="center"/>
              <w:rPr>
                <w:b/>
                <w:bCs/>
                <w:sz w:val="20"/>
                <w:szCs w:val="18"/>
              </w:rPr>
            </w:pPr>
            <w:r>
              <w:rPr>
                <w:b/>
                <w:bCs/>
                <w:sz w:val="20"/>
                <w:szCs w:val="18"/>
              </w:rPr>
              <w:t>10 %</w:t>
            </w:r>
          </w:p>
        </w:tc>
      </w:tr>
      <w:tr w:rsidR="00E91B70" w14:paraId="33B6BFAD" w14:textId="77777777">
        <w:tblPrEx>
          <w:tblCellMar>
            <w:top w:w="0" w:type="dxa"/>
            <w:bottom w:w="0" w:type="dxa"/>
          </w:tblCellMar>
        </w:tblPrEx>
        <w:trPr>
          <w:trHeight w:val="20"/>
          <w:jc w:val="center"/>
        </w:trPr>
        <w:tc>
          <w:tcPr>
            <w:tcW w:w="2126" w:type="dxa"/>
            <w:gridSpan w:val="2"/>
            <w:tcBorders>
              <w:top w:val="single" w:sz="4" w:space="0" w:color="000000"/>
            </w:tcBorders>
            <w:tcMar>
              <w:top w:w="0" w:type="dxa"/>
              <w:left w:w="108" w:type="dxa"/>
              <w:bottom w:w="0" w:type="dxa"/>
              <w:right w:w="108" w:type="dxa"/>
            </w:tcMar>
            <w:vAlign w:val="center"/>
          </w:tcPr>
          <w:p w14:paraId="532D11A0" w14:textId="77777777" w:rsidR="00E91B70" w:rsidRDefault="00E91B70">
            <w:pPr>
              <w:pStyle w:val="RedaliaNormal"/>
              <w:jc w:val="center"/>
              <w:rPr>
                <w:sz w:val="10"/>
                <w:szCs w:val="8"/>
              </w:rPr>
            </w:pPr>
          </w:p>
        </w:tc>
        <w:tc>
          <w:tcPr>
            <w:tcW w:w="6945" w:type="dxa"/>
            <w:gridSpan w:val="2"/>
            <w:tcBorders>
              <w:top w:val="single" w:sz="4" w:space="0" w:color="000000"/>
            </w:tcBorders>
            <w:tcMar>
              <w:top w:w="0" w:type="dxa"/>
              <w:left w:w="108" w:type="dxa"/>
              <w:bottom w:w="0" w:type="dxa"/>
              <w:right w:w="108" w:type="dxa"/>
            </w:tcMar>
            <w:vAlign w:val="center"/>
          </w:tcPr>
          <w:p w14:paraId="030A0D8E" w14:textId="77777777" w:rsidR="00E91B70" w:rsidRDefault="00E91B70">
            <w:pPr>
              <w:pStyle w:val="RedaliaNormal"/>
              <w:jc w:val="center"/>
              <w:rPr>
                <w:sz w:val="10"/>
                <w:szCs w:val="8"/>
              </w:rPr>
            </w:pPr>
          </w:p>
        </w:tc>
      </w:tr>
    </w:tbl>
    <w:p w14:paraId="04E42772" w14:textId="77777777" w:rsidR="00E91B70" w:rsidRDefault="0050236C" w:rsidP="00274139">
      <w:pPr>
        <w:pStyle w:val="Titre4"/>
        <w:ind w:left="0"/>
      </w:pPr>
      <w:r>
        <w:t>Précisions sur la négociation :</w:t>
      </w:r>
    </w:p>
    <w:p w14:paraId="3FC9F17E" w14:textId="77777777" w:rsidR="00E91B70" w:rsidRDefault="0050236C">
      <w:pPr>
        <w:pStyle w:val="RedaliaNormal"/>
      </w:pPr>
      <w:r>
        <w:t>Le pouvoir adjudicateur prévoit la possibilité de négocier. Il peut toutefois attribuer le(s) marché(s) sur la base des offres initiales sans négociation.</w:t>
      </w:r>
    </w:p>
    <w:p w14:paraId="414247A3" w14:textId="77777777" w:rsidR="00E91B70" w:rsidRDefault="00E91B70">
      <w:pPr>
        <w:pStyle w:val="RedaliaNormal"/>
      </w:pPr>
    </w:p>
    <w:p w14:paraId="26C32264" w14:textId="77777777" w:rsidR="00E91B70" w:rsidRDefault="0050236C">
      <w:pPr>
        <w:pStyle w:val="RedaliaNormal"/>
      </w:pPr>
      <w:r>
        <w:t xml:space="preserve">S'il décide de négocier, le pouvoir adjudicateur procédera à une négociation avec les 3 candidats les mieux classés au terme d’un premier classement opéré sur la base des critères de sélection des offres définis dans le présent règlement de la consultation. Lorsque le nombre de candidats satisfaisant aux critères de </w:t>
      </w:r>
      <w:r>
        <w:t>sélection est inférieur au nombre indiqué, le pouvoir adjudicateur peut poursuivre la négociation avec ces candidats.</w:t>
      </w:r>
    </w:p>
    <w:p w14:paraId="270B1891" w14:textId="77777777" w:rsidR="00E91B70" w:rsidRDefault="00E91B70">
      <w:pPr>
        <w:pStyle w:val="RedaliaNormal"/>
      </w:pPr>
    </w:p>
    <w:p w14:paraId="6FBA3C07" w14:textId="591E2F72" w:rsidR="00E91B70" w:rsidRDefault="0050236C">
      <w:pPr>
        <w:pStyle w:val="RedaliaNormal"/>
      </w:pPr>
      <w:r>
        <w:t>La négociation portera sur les points suivants : Tous les éléments de l'offre.</w:t>
      </w:r>
    </w:p>
    <w:p w14:paraId="569DD213" w14:textId="77777777" w:rsidR="00E91B70" w:rsidRDefault="0050236C" w:rsidP="00274139">
      <w:pPr>
        <w:pStyle w:val="Titre4"/>
        <w:ind w:left="0"/>
      </w:pPr>
      <w:r>
        <w:t>Classement final :</w:t>
      </w:r>
    </w:p>
    <w:p w14:paraId="7F9114B7" w14:textId="3CB8DC8A" w:rsidR="00E91B70" w:rsidRDefault="00274139">
      <w:pPr>
        <w:pStyle w:val="RedaliaNormal"/>
      </w:pPr>
      <w:r>
        <w:t>A</w:t>
      </w:r>
      <w:r w:rsidR="0050236C">
        <w:t xml:space="preserve"> l’issue de ces éventuelles négociations, le pouvoir adjudicateur retiendra l’offre économiquement la plus avantageuse sur la base des critères de jugement des offres définis dans l’avis et/ou dans le présent règlement de la consultation.</w:t>
      </w:r>
    </w:p>
    <w:p w14:paraId="7BD4AD4F" w14:textId="77777777" w:rsidR="00E91B70" w:rsidRDefault="0050236C">
      <w:pPr>
        <w:pStyle w:val="RedaliaTitre2"/>
      </w:pPr>
      <w:bookmarkStart w:id="42" w:name="_Toc170898458"/>
      <w:bookmarkStart w:id="43" w:name="__RefHeading___Toc922_1227691514"/>
      <w:bookmarkEnd w:id="42"/>
      <w:r>
        <w:t>Attribution du marché</w:t>
      </w:r>
      <w:bookmarkEnd w:id="43"/>
    </w:p>
    <w:p w14:paraId="2909A138" w14:textId="77777777" w:rsidR="00E91B70" w:rsidRDefault="0050236C">
      <w:pPr>
        <w:pStyle w:val="RedaliaNormal"/>
      </w:pPr>
      <w:r>
        <w:t xml:space="preserve">La réglementation ne fait plus </w:t>
      </w:r>
      <w:r>
        <w:t xml:space="preserve">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717A9C03" w14:textId="77777777" w:rsidR="00E91B70" w:rsidRDefault="00E91B70">
      <w:pPr>
        <w:pStyle w:val="RedaliaNormal"/>
        <w:rPr>
          <w:bCs/>
        </w:rPr>
      </w:pPr>
    </w:p>
    <w:p w14:paraId="07C0018D" w14:textId="77777777" w:rsidR="00E91B70" w:rsidRDefault="0050236C">
      <w:pPr>
        <w:pStyle w:val="RedaliaNormal"/>
      </w:pPr>
      <w:r>
        <w:t>Conformément à l'article R. 2144-7 du Code de la commande publique, le candidat auquel il est envisagé d'attribuer le marché devra fournir les documents qui justifient qu’il n’entre pas dans les cas d’interdiction de soumissionner.</w:t>
      </w:r>
    </w:p>
    <w:p w14:paraId="6C082568" w14:textId="77777777" w:rsidR="00E91B70" w:rsidRDefault="0050236C">
      <w:pPr>
        <w:pStyle w:val="RedaliaNormal"/>
      </w:pPr>
      <w:r>
        <w:lastRenderedPageBreak/>
        <w:t xml:space="preserve">À défaut de produire ces documents dans </w:t>
      </w:r>
      <w:r>
        <w:t>le délai fixé, l’offre du candidat attributaire sera rejetée et il sera éliminé.</w:t>
      </w:r>
    </w:p>
    <w:p w14:paraId="0F9006E9" w14:textId="77777777" w:rsidR="00E91B70" w:rsidRDefault="0050236C">
      <w:pPr>
        <w:pStyle w:val="RedaliaNormal"/>
      </w:pPr>
      <w:r>
        <w:t>Le candidat suivant sera alors sollicité pour produire les certificats et attestations nécessaires avant que le marché ne lui soit attribué.</w:t>
      </w:r>
    </w:p>
    <w:p w14:paraId="2365E380" w14:textId="77777777" w:rsidR="00E91B70" w:rsidRDefault="0050236C">
      <w:pPr>
        <w:pStyle w:val="RedaliaTitre1"/>
      </w:pPr>
      <w:bookmarkStart w:id="44" w:name="_Toc191310585"/>
      <w:bookmarkStart w:id="45" w:name="__RefHeading___Toc924_1227691514"/>
      <w:r>
        <w:t>Conditions d’envoi et de remise des candidatures et des offres</w:t>
      </w:r>
      <w:bookmarkEnd w:id="44"/>
      <w:bookmarkEnd w:id="45"/>
    </w:p>
    <w:p w14:paraId="16D56A96" w14:textId="77777777" w:rsidR="00E91B70" w:rsidRDefault="0050236C">
      <w:pPr>
        <w:pStyle w:val="RedaliaNormal"/>
      </w:pPr>
      <w:r>
        <w:t>La transmission des documents par voie électronique ne peut être réalisée qu’à l’adresse suivante : https://demat-ampa.fr.</w:t>
      </w:r>
    </w:p>
    <w:p w14:paraId="1466C21B" w14:textId="77777777" w:rsidR="00E91B70" w:rsidRDefault="00E91B70">
      <w:pPr>
        <w:pStyle w:val="RedaliaNormal"/>
      </w:pPr>
    </w:p>
    <w:p w14:paraId="45312F78" w14:textId="77777777" w:rsidR="00E91B70" w:rsidRDefault="0050236C">
      <w:pPr>
        <w:pStyle w:val="RedaliaNormal"/>
      </w:pPr>
      <w:r>
        <w:t>Le fuseau horaire de référence sera celui de (GMT+</w:t>
      </w:r>
      <w:proofErr w:type="gramStart"/>
      <w:r>
        <w:t>01:</w:t>
      </w:r>
      <w:proofErr w:type="gramEnd"/>
      <w:r>
        <w:t>00) Paris, Bruxelles, Copenhague, Madrid.</w:t>
      </w:r>
    </w:p>
    <w:p w14:paraId="0AF6E823" w14:textId="77777777" w:rsidR="00E91B70" w:rsidRDefault="0050236C">
      <w:pPr>
        <w:pStyle w:val="RedaliaNormal"/>
      </w:pPr>
      <w:r>
        <w:t xml:space="preserve">Chaque </w:t>
      </w:r>
      <w:r>
        <w:t>transmission fera l’objet d’une date certaine de réception et d’un accusé de réception électronique.</w:t>
      </w:r>
    </w:p>
    <w:p w14:paraId="3D343C84" w14:textId="77777777" w:rsidR="00E91B70" w:rsidRDefault="00E91B70">
      <w:pPr>
        <w:pStyle w:val="RedaliaNormal"/>
      </w:pPr>
    </w:p>
    <w:p w14:paraId="18025777" w14:textId="77777777" w:rsidR="00E91B70" w:rsidRDefault="0050236C">
      <w:pPr>
        <w:pStyle w:val="RedaliaNormal"/>
      </w:pPr>
      <w:r>
        <w:rPr>
          <w:u w:val="single"/>
        </w:rPr>
        <w:t>Formats de fichiers acceptés</w:t>
      </w:r>
      <w:r>
        <w:t xml:space="preserve"> :</w:t>
      </w:r>
    </w:p>
    <w:p w14:paraId="2CE23CF5" w14:textId="77777777" w:rsidR="00E91B70" w:rsidRDefault="00E91B70">
      <w:pPr>
        <w:pStyle w:val="RedaliaNormal"/>
      </w:pPr>
    </w:p>
    <w:p w14:paraId="7E495CD7" w14:textId="77777777" w:rsidR="00E91B70" w:rsidRDefault="0050236C">
      <w:pPr>
        <w:pStyle w:val="RedaliaNormal"/>
      </w:pPr>
      <w:r>
        <w:t>En cas de transmission de réponse par voie électronique, les documents fournis doivent être dans l’un des formats suivants, sous peine d’irrecevabilité de l’offre :</w:t>
      </w:r>
    </w:p>
    <w:p w14:paraId="5F7B9C24" w14:textId="77777777" w:rsidR="00E91B70" w:rsidRDefault="0050236C">
      <w:pPr>
        <w:pStyle w:val="RedaliaRetraitavecpuce"/>
      </w:pPr>
      <w:r>
        <w:t>Format bureautique propriétaire de Microsoft compatible version 2003 (.doc, .</w:t>
      </w:r>
      <w:proofErr w:type="spellStart"/>
      <w:r>
        <w:t>xls</w:t>
      </w:r>
      <w:proofErr w:type="spellEnd"/>
      <w:r>
        <w:t xml:space="preserve"> et .</w:t>
      </w:r>
      <w:proofErr w:type="spellStart"/>
      <w:r>
        <w:t>ppt</w:t>
      </w:r>
      <w:proofErr w:type="spellEnd"/>
      <w:r>
        <w:t>) ;</w:t>
      </w:r>
    </w:p>
    <w:p w14:paraId="2421EA9F" w14:textId="77777777" w:rsidR="00E91B70" w:rsidRDefault="0050236C">
      <w:pPr>
        <w:pStyle w:val="RedaliaRetraitavecpuce"/>
      </w:pPr>
      <w:r>
        <w:t>Format texte universel (.</w:t>
      </w:r>
      <w:proofErr w:type="spellStart"/>
      <w:r>
        <w:t>rtf</w:t>
      </w:r>
      <w:proofErr w:type="spellEnd"/>
      <w:r>
        <w:t>) ;</w:t>
      </w:r>
    </w:p>
    <w:p w14:paraId="44328B8F" w14:textId="77777777" w:rsidR="00E91B70" w:rsidRDefault="0050236C">
      <w:pPr>
        <w:pStyle w:val="RedaliaRetraitavecpuce"/>
      </w:pPr>
      <w:r>
        <w:t>Format PDF (.</w:t>
      </w:r>
      <w:proofErr w:type="spellStart"/>
      <w:r>
        <w:t>pdf</w:t>
      </w:r>
      <w:proofErr w:type="spellEnd"/>
      <w:r>
        <w:t>) ;</w:t>
      </w:r>
    </w:p>
    <w:p w14:paraId="6220D6D2" w14:textId="77777777" w:rsidR="00E91B70" w:rsidRDefault="0050236C">
      <w:pPr>
        <w:pStyle w:val="RedaliaRetraitavecpuce"/>
      </w:pPr>
      <w:r>
        <w:t>Formats images (.gif, .jpg et .png) ;</w:t>
      </w:r>
    </w:p>
    <w:p w14:paraId="20DE2962" w14:textId="77777777" w:rsidR="00E91B70" w:rsidRDefault="0050236C">
      <w:pPr>
        <w:pStyle w:val="RedaliaRetraitavecpuce"/>
      </w:pPr>
      <w:r>
        <w:t>Format pour les plans (.</w:t>
      </w:r>
      <w:proofErr w:type="spellStart"/>
      <w:r>
        <w:t>dxf</w:t>
      </w:r>
      <w:proofErr w:type="spellEnd"/>
      <w:r>
        <w:t xml:space="preserve"> et </w:t>
      </w:r>
      <w:r>
        <w:t>.</w:t>
      </w:r>
      <w:proofErr w:type="spellStart"/>
      <w:r>
        <w:t>dwg</w:t>
      </w:r>
      <w:proofErr w:type="spellEnd"/>
      <w:r>
        <w:t>).</w:t>
      </w:r>
    </w:p>
    <w:p w14:paraId="05E64815" w14:textId="77777777" w:rsidR="00E91B70" w:rsidRDefault="00E91B70">
      <w:pPr>
        <w:pStyle w:val="RedaliaNormal"/>
      </w:pPr>
    </w:p>
    <w:p w14:paraId="6E67F8EF" w14:textId="77777777" w:rsidR="00E91B70" w:rsidRDefault="0050236C">
      <w:pPr>
        <w:pStyle w:val="RedaliaNormal"/>
      </w:pPr>
      <w:r>
        <w:t>Tout document contenant un virus informatique fera l’objet d’un archivage de sécurité et sera réputé n’avoir jamais été reçu. Le candidat concerné en sera informé. Dans ces conditions, il est conseillé de soumettre les documents à un anti-virus avant envoi.</w:t>
      </w:r>
    </w:p>
    <w:p w14:paraId="25C5E894" w14:textId="77777777" w:rsidR="00E91B70" w:rsidRDefault="00E91B70">
      <w:pPr>
        <w:pStyle w:val="RedaliaNormal"/>
      </w:pPr>
    </w:p>
    <w:p w14:paraId="34784411" w14:textId="77777777" w:rsidR="00E91B70" w:rsidRDefault="0050236C">
      <w:pPr>
        <w:pStyle w:val="RedaliaNormal"/>
      </w:pPr>
      <w:r>
        <w:rPr>
          <w:u w:val="single"/>
        </w:rPr>
        <w:t>Copie de sauvegarde</w:t>
      </w:r>
      <w:r>
        <w:t xml:space="preserve"> :</w:t>
      </w:r>
    </w:p>
    <w:p w14:paraId="04D812E7" w14:textId="77777777" w:rsidR="00E91B70" w:rsidRDefault="00E91B70">
      <w:pPr>
        <w:pStyle w:val="RedaliaNormal"/>
      </w:pPr>
    </w:p>
    <w:p w14:paraId="7059C969" w14:textId="77777777" w:rsidR="00E91B70" w:rsidRDefault="0050236C">
      <w:pPr>
        <w:pStyle w:val="RedaliaNormal"/>
      </w:pPr>
      <w:r>
        <w:t>Chaque candidat peut également transmettre, dans les délais impartis pour la remise des plis, une copie de sauvegarde :</w:t>
      </w:r>
    </w:p>
    <w:p w14:paraId="3F90A267" w14:textId="77777777" w:rsidR="00E91B70" w:rsidRDefault="0050236C">
      <w:pPr>
        <w:pStyle w:val="RedaliaRetraitavecpuce"/>
      </w:pPr>
      <w:r>
        <w:t>Soit par voie électronique ;</w:t>
      </w:r>
    </w:p>
    <w:p w14:paraId="2AB31A91" w14:textId="77777777" w:rsidR="00E91B70" w:rsidRDefault="0050236C">
      <w:pPr>
        <w:pStyle w:val="RedaliaRetraitavecpuce"/>
      </w:pPr>
      <w:r>
        <w:t xml:space="preserve">Soit sur support physique électronique (CD-Rom, </w:t>
      </w:r>
      <w:proofErr w:type="spellStart"/>
      <w:r>
        <w:t>DVD-Rom</w:t>
      </w:r>
      <w:proofErr w:type="spellEnd"/>
      <w:r>
        <w:t>, clé USB) ;</w:t>
      </w:r>
    </w:p>
    <w:p w14:paraId="340EFBA7" w14:textId="77777777" w:rsidR="00E91B70" w:rsidRDefault="0050236C">
      <w:pPr>
        <w:pStyle w:val="RedaliaRetraitavecpuce"/>
      </w:pPr>
      <w:r>
        <w:t xml:space="preserve">Soit </w:t>
      </w:r>
      <w:r>
        <w:t>sur support papier ;</w:t>
      </w:r>
    </w:p>
    <w:p w14:paraId="3DD8FA61" w14:textId="77777777" w:rsidR="00E91B70" w:rsidRDefault="0050236C">
      <w:pPr>
        <w:pStyle w:val="RedaliaRetraitavecpuce"/>
      </w:pPr>
      <w:r>
        <w:t>Soit par voie dématérialisée (conformément aux exigences fixées dans l’annexe 8 du Code de la commande publique suite à l’arrêté du 14 avril 2023).</w:t>
      </w:r>
    </w:p>
    <w:p w14:paraId="480A245E" w14:textId="77777777" w:rsidR="00E91B70" w:rsidRDefault="00E91B70">
      <w:pPr>
        <w:pStyle w:val="RedaliaNormal"/>
      </w:pPr>
    </w:p>
    <w:p w14:paraId="48220EC7" w14:textId="77777777" w:rsidR="00E91B70" w:rsidRDefault="0050236C">
      <w:pPr>
        <w:pStyle w:val="RedaliaNormal"/>
      </w:pPr>
      <w:r>
        <w:t xml:space="preserve">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w:t>
      </w:r>
      <w:r>
        <w:t>commande publique, ainsi que de l’arrêté du 14 avril 2023 (annexe 8 du Code de la commande publique).</w:t>
      </w:r>
    </w:p>
    <w:p w14:paraId="5D9DBFF5" w14:textId="77777777" w:rsidR="00E91B70" w:rsidRDefault="00E91B70">
      <w:pPr>
        <w:pStyle w:val="RedaliaNormal"/>
      </w:pPr>
    </w:p>
    <w:p w14:paraId="07DA07C7" w14:textId="77777777" w:rsidR="00E91B70" w:rsidRDefault="0050236C">
      <w:pPr>
        <w:pStyle w:val="RedaliaNormal"/>
      </w:pPr>
      <w:r>
        <w:t xml:space="preserve">La copie de sauvegarde, si elle est adressée sur support papier ou sur support physique électronique, doit être transmise sous pli scellé, comporter obligatoirement, la mention : </w:t>
      </w:r>
      <w:r>
        <w:rPr>
          <w:i/>
          <w:iCs/>
        </w:rPr>
        <w:t>« copie de sauvegarde »</w:t>
      </w:r>
      <w:r>
        <w:t xml:space="preserve">, ainsi que l’identification de la procédure concernée et les coordonnées de </w:t>
      </w:r>
      <w:r>
        <w:lastRenderedPageBreak/>
        <w:t>l’entreprise, à l’adresse ci-dessous :</w:t>
      </w:r>
    </w:p>
    <w:p w14:paraId="526914BD" w14:textId="77777777" w:rsidR="00E91B70" w:rsidRDefault="0050236C">
      <w:pPr>
        <w:pStyle w:val="RedaliaNormal"/>
        <w:jc w:val="center"/>
      </w:pPr>
      <w:r>
        <w:t>XL HABITAT</w:t>
      </w:r>
    </w:p>
    <w:p w14:paraId="244D8063" w14:textId="77777777" w:rsidR="00E91B70" w:rsidRDefault="0050236C">
      <w:pPr>
        <w:pStyle w:val="RedaliaNormal"/>
        <w:jc w:val="center"/>
      </w:pPr>
      <w:r>
        <w:t>953 av. colonel Rozanoff BP 341</w:t>
      </w:r>
    </w:p>
    <w:p w14:paraId="4C4314C1" w14:textId="77777777" w:rsidR="00E91B70" w:rsidRDefault="0050236C">
      <w:pPr>
        <w:pStyle w:val="RedaliaNormal"/>
        <w:jc w:val="center"/>
      </w:pPr>
      <w:r>
        <w:t>40 011 MONT DE MARSAN</w:t>
      </w:r>
    </w:p>
    <w:p w14:paraId="44801232" w14:textId="77777777" w:rsidR="00E91B70" w:rsidRDefault="00E91B70">
      <w:pPr>
        <w:pStyle w:val="RedaliaNormal"/>
      </w:pPr>
    </w:p>
    <w:p w14:paraId="0046D917" w14:textId="77777777" w:rsidR="00E91B70" w:rsidRDefault="0050236C">
      <w:pPr>
        <w:pStyle w:val="RedaliaNormal"/>
      </w:pPr>
      <w:r>
        <w:t>Les documents de la copie</w:t>
      </w:r>
      <w:r>
        <w:t xml:space="preserve"> de sauvegarde doivent être signés (pour les documents dont la signature est obligatoire). Si le support physique choisi est le support papier, la signature est manuscrite. Si le support physique choisi est électronique, la signature est électronique.</w:t>
      </w:r>
    </w:p>
    <w:p w14:paraId="3903016D" w14:textId="77777777" w:rsidR="00E91B70" w:rsidRDefault="00E91B70">
      <w:pPr>
        <w:pStyle w:val="RedaliaNormal"/>
      </w:pPr>
    </w:p>
    <w:p w14:paraId="435A83AC" w14:textId="77777777" w:rsidR="00E91B70" w:rsidRDefault="0050236C">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027A33E1" w14:textId="77777777" w:rsidR="00E91B70" w:rsidRDefault="00E91B70">
      <w:pPr>
        <w:pStyle w:val="RedaliaNormal"/>
      </w:pPr>
    </w:p>
    <w:p w14:paraId="252502C6" w14:textId="77777777" w:rsidR="00E91B70" w:rsidRDefault="0050236C">
      <w:pPr>
        <w:pStyle w:val="RedaliaNormal"/>
      </w:pPr>
      <w:r>
        <w:t xml:space="preserve">Les plis contenant la copie de </w:t>
      </w:r>
      <w:r>
        <w:t>sauvegarde, non ouverts, seront détruits à l’issue de la procédure par le pouvoir adjudicateur.</w:t>
      </w:r>
    </w:p>
    <w:p w14:paraId="17E83D14" w14:textId="77777777" w:rsidR="00E91B70" w:rsidRDefault="0050236C">
      <w:pPr>
        <w:pStyle w:val="RedaliaTitre1"/>
      </w:pPr>
      <w:bookmarkStart w:id="46" w:name="_Toc191310586"/>
      <w:bookmarkStart w:id="47" w:name="__RefHeading___Toc926_1227691514"/>
      <w:r>
        <w:t>Renseignements complémentaires</w:t>
      </w:r>
      <w:bookmarkEnd w:id="46"/>
      <w:bookmarkEnd w:id="47"/>
    </w:p>
    <w:p w14:paraId="437BD5E6" w14:textId="77777777" w:rsidR="00E91B70" w:rsidRDefault="0050236C">
      <w:pPr>
        <w:pStyle w:val="RedaliaNormal"/>
      </w:pPr>
      <w:r>
        <w:t>Pour obtenir tous les renseignements complémentaires relatifs à cette consultation, les candidats devront faire parvenir en temps utile leur demande :</w:t>
      </w:r>
    </w:p>
    <w:p w14:paraId="00C9A3C9" w14:textId="77777777" w:rsidR="00E91B70" w:rsidRDefault="0050236C">
      <w:pPr>
        <w:pStyle w:val="RedaliaRetraitavecpuce"/>
      </w:pPr>
      <w:r>
        <w:t>De manière électronique, exclusivement sur la plateforme de dématérialisation, sur l’URL suivante : https://demat-ampa.fr</w:t>
      </w:r>
    </w:p>
    <w:p w14:paraId="529D1795" w14:textId="77777777" w:rsidR="00E91B70" w:rsidRDefault="00E91B70">
      <w:pPr>
        <w:pStyle w:val="RedaliaNormal"/>
      </w:pPr>
    </w:p>
    <w:p w14:paraId="6F9E867E" w14:textId="77777777" w:rsidR="00E91B70" w:rsidRDefault="0050236C">
      <w:pPr>
        <w:pStyle w:val="RedaliaNormal"/>
      </w:pPr>
      <w:r>
        <w:t xml:space="preserve">Seules les demandes adressées au moins 8 jours avant la date limite de réception des offres feront l’objet </w:t>
      </w:r>
      <w:r>
        <w:t>d’une réponse de la part du pouvoir adjudicateur.</w:t>
      </w:r>
    </w:p>
    <w:p w14:paraId="2F9A9380" w14:textId="77777777" w:rsidR="00E91B70" w:rsidRDefault="0050236C">
      <w:pPr>
        <w:pStyle w:val="RedaliaNormal"/>
      </w:pPr>
      <w:r>
        <w:t>Une réponse sera adressée au plus tard 5 jours avant la date fixée pour la réception des offres aux candidats ayant téléchargé les documents de la consultation sur la plateforme de dématérialisation après s'être préalablement identifiés.</w:t>
      </w:r>
    </w:p>
    <w:p w14:paraId="58195590" w14:textId="77777777" w:rsidR="00E91B70" w:rsidRDefault="0050236C">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5EF45AC4" w14:textId="77777777" w:rsidR="00E91B70" w:rsidRDefault="0050236C">
      <w:pPr>
        <w:pStyle w:val="RedaliaTitre1"/>
      </w:pPr>
      <w:bookmarkStart w:id="48" w:name="__RefHeading___Toc928_1227691514"/>
      <w:r>
        <w:t xml:space="preserve">Procédures de </w:t>
      </w:r>
      <w:r>
        <w:t>recours</w:t>
      </w:r>
      <w:bookmarkEnd w:id="48"/>
    </w:p>
    <w:p w14:paraId="5F4AE8CB" w14:textId="77777777" w:rsidR="00E91B70" w:rsidRDefault="0050236C">
      <w:pPr>
        <w:pStyle w:val="RedaliaNormal"/>
      </w:pPr>
      <w:r>
        <w:t>Concernant la présente consultation, les éléments relatifs aux procédures de recours sont les suivants :</w:t>
      </w:r>
    </w:p>
    <w:p w14:paraId="57D19A8C" w14:textId="77777777" w:rsidR="00E91B70" w:rsidRDefault="0050236C">
      <w:pPr>
        <w:pStyle w:val="RedaliaNormal"/>
      </w:pPr>
      <w:r>
        <w:t>Instance chargée des procédures de recours :</w:t>
      </w:r>
    </w:p>
    <w:p w14:paraId="1F22CECB" w14:textId="77777777" w:rsidR="00E91B70" w:rsidRDefault="0050236C">
      <w:pPr>
        <w:pStyle w:val="RedaliaNormal"/>
      </w:pPr>
      <w:r>
        <w:t>Tribunal administratif de Pau</w:t>
      </w:r>
    </w:p>
    <w:p w14:paraId="156404BC" w14:textId="77777777" w:rsidR="00E91B70" w:rsidRDefault="0050236C">
      <w:pPr>
        <w:pStyle w:val="RedaliaNormal"/>
      </w:pPr>
      <w:r>
        <w:t xml:space="preserve">Villa </w:t>
      </w:r>
      <w:proofErr w:type="spellStart"/>
      <w:r>
        <w:t>Noulibos</w:t>
      </w:r>
      <w:proofErr w:type="spellEnd"/>
    </w:p>
    <w:p w14:paraId="3916629C" w14:textId="77777777" w:rsidR="00E91B70" w:rsidRDefault="0050236C">
      <w:pPr>
        <w:pStyle w:val="RedaliaNormal"/>
      </w:pPr>
      <w:r>
        <w:t>50, cours Lyautey – 64010 PAU CEDEX</w:t>
      </w:r>
    </w:p>
    <w:p w14:paraId="2AD1CAFF" w14:textId="77777777" w:rsidR="00E91B70" w:rsidRDefault="0050236C">
      <w:pPr>
        <w:pStyle w:val="RedaliaNormal"/>
      </w:pPr>
      <w:r>
        <w:t>Tél : 05.59.84.94.40</w:t>
      </w:r>
    </w:p>
    <w:p w14:paraId="4D6567B0" w14:textId="77777777" w:rsidR="00E91B70" w:rsidRDefault="0050236C">
      <w:pPr>
        <w:pStyle w:val="RedaliaNormal"/>
      </w:pPr>
      <w:r>
        <w:t>Service auprès duquel des renseignements peuvent être obtenus concernant l’introduction des recours :</w:t>
      </w:r>
    </w:p>
    <w:p w14:paraId="4647969D" w14:textId="77777777" w:rsidR="00E91B70" w:rsidRDefault="0050236C">
      <w:pPr>
        <w:pStyle w:val="RedaliaNormal"/>
      </w:pPr>
      <w:r>
        <w:t>Les renseignements relatifs aux délais d’introduction des recours peuvent être obtenus auprès du greffe du tribunal administratif de Pau.</w:t>
      </w:r>
    </w:p>
    <w:p w14:paraId="4369F068" w14:textId="77777777" w:rsidR="00E91B70" w:rsidRDefault="0050236C">
      <w:pPr>
        <w:pStyle w:val="RedaliaNormal"/>
      </w:pPr>
      <w:r>
        <w:t xml:space="preserve">Courriel : </w:t>
      </w:r>
      <w:r>
        <w:t>greffe.ta-pau@juradm.fr</w:t>
      </w:r>
    </w:p>
    <w:p w14:paraId="5238AAC9" w14:textId="77777777" w:rsidR="00E91B70" w:rsidRDefault="00E91B70">
      <w:pPr>
        <w:pStyle w:val="RedaliaNormal"/>
      </w:pPr>
    </w:p>
    <w:p w14:paraId="62FCB52A" w14:textId="77777777" w:rsidR="00E91B70" w:rsidRDefault="0050236C">
      <w:pPr>
        <w:pStyle w:val="RdaliaTitredossier"/>
        <w:pageBreakBefore/>
      </w:pPr>
      <w:bookmarkStart w:id="49" w:name="_Toc170898465"/>
      <w:r>
        <w:lastRenderedPageBreak/>
        <w:t>ANNEXE : EXIGENCES RELATIVES AU CERTIFICAT DE SIGNATURE</w:t>
      </w:r>
      <w:bookmarkEnd w:id="49"/>
    </w:p>
    <w:p w14:paraId="13BEE56D" w14:textId="77777777" w:rsidR="00E91B70" w:rsidRDefault="00E91B70">
      <w:pPr>
        <w:pStyle w:val="RedaliaNormal"/>
      </w:pPr>
    </w:p>
    <w:p w14:paraId="1D743FEC" w14:textId="77777777" w:rsidR="00E91B70" w:rsidRDefault="00E91B70">
      <w:pPr>
        <w:pStyle w:val="RedaliaNormal"/>
      </w:pPr>
    </w:p>
    <w:p w14:paraId="0FC4F27D" w14:textId="77777777" w:rsidR="00E91B70" w:rsidRDefault="0050236C">
      <w:pPr>
        <w:pStyle w:val="RedaliaNormal"/>
      </w:pPr>
      <w:r>
        <w:rPr>
          <w:u w:val="single"/>
        </w:rPr>
        <w:t>Certificat de signature</w:t>
      </w:r>
      <w:r>
        <w:t xml:space="preserve"> :</w:t>
      </w:r>
    </w:p>
    <w:p w14:paraId="11977044" w14:textId="77777777" w:rsidR="00E91B70" w:rsidRDefault="00E91B70">
      <w:pPr>
        <w:pStyle w:val="RedaliaNormal"/>
      </w:pPr>
    </w:p>
    <w:p w14:paraId="79BAA5C9" w14:textId="77777777" w:rsidR="00E91B70" w:rsidRDefault="0050236C">
      <w:pPr>
        <w:pStyle w:val="RedaliaNormal"/>
      </w:pPr>
      <w:r>
        <w:t xml:space="preserve">Le certificat de signature du signataire doit être conforme au règlement « </w:t>
      </w:r>
      <w:proofErr w:type="spellStart"/>
      <w:r>
        <w:t>eIDAS</w:t>
      </w:r>
      <w:proofErr w:type="spellEnd"/>
      <w:r>
        <w:t xml:space="preserve"> » ou équivalent et respecter le niveau de sécurité exigé. Le RGS (référentiel général de sécurité) est remplacé par le règlement « </w:t>
      </w:r>
      <w:proofErr w:type="spellStart"/>
      <w:r>
        <w:t>eIDAS</w:t>
      </w:r>
      <w:proofErr w:type="spellEnd"/>
      <w:r>
        <w:t xml:space="preserve"> » depuis le 1er octobre 2018.</w:t>
      </w:r>
    </w:p>
    <w:p w14:paraId="0876FBFF" w14:textId="77777777" w:rsidR="00E91B70" w:rsidRDefault="0050236C">
      <w:pPr>
        <w:pStyle w:val="RedaliaNormal"/>
      </w:pPr>
      <w:r>
        <w:t>Néanmoins, les candidats disposant déjà d’un certificat « RGS », celui-ci reste utilisable jusqu’au terme de sa période de validité.</w:t>
      </w:r>
    </w:p>
    <w:p w14:paraId="57AE0F5F" w14:textId="77777777" w:rsidR="00E91B70" w:rsidRDefault="00E91B70">
      <w:pPr>
        <w:pStyle w:val="RedaliaNormal"/>
      </w:pPr>
    </w:p>
    <w:p w14:paraId="4B909005" w14:textId="77777777" w:rsidR="00E91B70" w:rsidRDefault="0050236C">
      <w:pPr>
        <w:pStyle w:val="RedaliaNormal"/>
      </w:pPr>
      <w:r>
        <w:rPr>
          <w:b/>
        </w:rPr>
        <w:t>- Cas 1 : Certificat</w:t>
      </w:r>
      <w:r>
        <w:rPr>
          <w:b/>
        </w:rPr>
        <w:t xml:space="preserve"> émis par une Autorité de certification</w:t>
      </w:r>
      <w:proofErr w:type="gramStart"/>
      <w:r>
        <w:rPr>
          <w:b/>
        </w:rPr>
        <w:t xml:space="preserve"> «reconnue</w:t>
      </w:r>
      <w:proofErr w:type="gramEnd"/>
      <w:r>
        <w:rPr>
          <w:b/>
        </w:rPr>
        <w:t>» - Aucun justificatif à fournir</w:t>
      </w:r>
    </w:p>
    <w:p w14:paraId="03F1E7DC" w14:textId="77777777" w:rsidR="00E91B70" w:rsidRDefault="00E91B70">
      <w:pPr>
        <w:pStyle w:val="RedaliaNormal"/>
      </w:pPr>
    </w:p>
    <w:p w14:paraId="7258A6CE" w14:textId="77777777" w:rsidR="00E91B70" w:rsidRDefault="0050236C">
      <w:pPr>
        <w:pStyle w:val="RedaliaNormal"/>
      </w:pPr>
      <w:r>
        <w:t>Le certificat de signature est émis par une Autorité de certification mentionnée dans la liste de confiance suivante :</w:t>
      </w:r>
    </w:p>
    <w:p w14:paraId="4E041C67" w14:textId="77777777" w:rsidR="00E91B70" w:rsidRDefault="0050236C">
      <w:pPr>
        <w:pStyle w:val="RedaliaNormal"/>
      </w:pPr>
      <w:hyperlink r:id="rId34" w:history="1">
        <w:r>
          <w:rPr>
            <w:rStyle w:val="Lienhypertexte"/>
          </w:rPr>
          <w:t>https://www.ssi.gouv.fr/entreprise/reglementation/confiance-numerique/le-reglement-eidas/liste-nationale-de-confiance/</w:t>
        </w:r>
      </w:hyperlink>
    </w:p>
    <w:p w14:paraId="0EC28718" w14:textId="77777777" w:rsidR="00E91B70" w:rsidRDefault="00E91B70">
      <w:pPr>
        <w:pStyle w:val="RedaliaNormal"/>
      </w:pPr>
    </w:p>
    <w:p w14:paraId="57C557DE" w14:textId="77777777" w:rsidR="00E91B70" w:rsidRDefault="0050236C">
      <w:pPr>
        <w:pStyle w:val="RedaliaNormal"/>
      </w:pPr>
      <w:r>
        <w:t>Les candidats européens trouveront également la liste</w:t>
      </w:r>
      <w:r>
        <w:t xml:space="preserve"> complète des prestataires sur la liste de confiance tenue par la Commission européenne :</w:t>
      </w:r>
    </w:p>
    <w:p w14:paraId="48C8C9AC" w14:textId="77777777" w:rsidR="00E91B70" w:rsidRDefault="0050236C">
      <w:pPr>
        <w:pStyle w:val="RedaliaNormal"/>
      </w:pPr>
      <w:hyperlink r:id="rId35" w:history="1">
        <w:r>
          <w:rPr>
            <w:rStyle w:val="Lienhypertexte"/>
          </w:rPr>
          <w:t>https://esignature.ec.europa.eu/efda/tl-browser/#/screen/tl/FR</w:t>
        </w:r>
      </w:hyperlink>
    </w:p>
    <w:p w14:paraId="59EDA625" w14:textId="77777777" w:rsidR="00E91B70" w:rsidRDefault="00E91B70">
      <w:pPr>
        <w:pStyle w:val="RedaliaNormal"/>
      </w:pPr>
    </w:p>
    <w:p w14:paraId="0D0BD168" w14:textId="77777777" w:rsidR="00E91B70" w:rsidRDefault="0050236C">
      <w:pPr>
        <w:pStyle w:val="RedaliaNormal"/>
      </w:pPr>
      <w:r>
        <w:t>Dans ce cas, le soumissionnaire n’a aucun justificatif à fournir sur le certificat de signature utilisé pour signer sa réponse.</w:t>
      </w:r>
    </w:p>
    <w:p w14:paraId="196D2ED7" w14:textId="77777777" w:rsidR="00E91B70" w:rsidRDefault="00E91B70">
      <w:pPr>
        <w:pStyle w:val="RedaliaNormal"/>
      </w:pPr>
    </w:p>
    <w:p w14:paraId="0CAAC075" w14:textId="77777777" w:rsidR="00E91B70" w:rsidRDefault="0050236C">
      <w:pPr>
        <w:pStyle w:val="RedaliaNormal"/>
      </w:pPr>
      <w:r>
        <w:rPr>
          <w:b/>
        </w:rPr>
        <w:t>- Cas 2 : Le certificat de signature électronique n’est pas référencé sur une liste de confiance - Différents justificatifs à fournir</w:t>
      </w:r>
    </w:p>
    <w:p w14:paraId="0DA5ED86" w14:textId="77777777" w:rsidR="00E91B70" w:rsidRDefault="00E91B70">
      <w:pPr>
        <w:pStyle w:val="RedaliaNormal"/>
      </w:pPr>
    </w:p>
    <w:p w14:paraId="3195D6D1" w14:textId="77777777" w:rsidR="00E91B70" w:rsidRDefault="0050236C">
      <w:pPr>
        <w:pStyle w:val="RedaliaNormal"/>
      </w:pPr>
      <w:r>
        <w:t>La plateforme</w:t>
      </w:r>
      <w:r>
        <w:t xml:space="preserve"> de dématérialisation accepte tous les certificats de signature électronique présentant des conditions de sécurité équivalentes à celles du Référentiel général de sécurité (RGS) et « </w:t>
      </w:r>
      <w:proofErr w:type="spellStart"/>
      <w:r>
        <w:t>eIDAS</w:t>
      </w:r>
      <w:proofErr w:type="spellEnd"/>
      <w:r>
        <w:t> ».</w:t>
      </w:r>
    </w:p>
    <w:p w14:paraId="5C5EDF0C" w14:textId="77777777" w:rsidR="00E91B70" w:rsidRDefault="0050236C">
      <w:pPr>
        <w:pStyle w:val="RedaliaNormal"/>
      </w:pPr>
      <w:r>
        <w:t>Le candidat s’assure par lui-même que le certificat qu’il utilise est au moins conforme au niveau de sécurité défini par le Référentiel général de sécurité (RGS) ou « </w:t>
      </w:r>
      <w:proofErr w:type="spellStart"/>
      <w:r>
        <w:t>eIDAS</w:t>
      </w:r>
      <w:proofErr w:type="spellEnd"/>
      <w:r>
        <w:t> », et en fournit les justificatifs dans sa réponse électronique.</w:t>
      </w:r>
    </w:p>
    <w:p w14:paraId="3E9FC85E" w14:textId="77777777" w:rsidR="00E91B70" w:rsidRDefault="0050236C">
      <w:pPr>
        <w:pStyle w:val="RedaliaNormal"/>
      </w:pPr>
      <w:r>
        <w:t xml:space="preserve">Le candidat fournit également tous les éléments techniques permettant au pouvoir </w:t>
      </w:r>
      <w:r>
        <w:t>adjudicateur de s’assurer de la bonne validité technique du certificat utilisé.</w:t>
      </w:r>
    </w:p>
    <w:p w14:paraId="12D6A567" w14:textId="77777777" w:rsidR="00E91B70" w:rsidRDefault="00E91B70">
      <w:pPr>
        <w:pStyle w:val="RedaliaNormal"/>
      </w:pPr>
    </w:p>
    <w:p w14:paraId="4F941F6F" w14:textId="77777777" w:rsidR="00E91B70" w:rsidRDefault="0050236C">
      <w:pPr>
        <w:pStyle w:val="RedaliaNormal"/>
      </w:pPr>
      <w:r>
        <w:t>Ainsi, le signataire doit transmettre avec sa réponse électronique les éléments suivants :</w:t>
      </w:r>
    </w:p>
    <w:p w14:paraId="0086B5F4" w14:textId="77777777" w:rsidR="00E91B70" w:rsidRDefault="00E91B70">
      <w:pPr>
        <w:pStyle w:val="RedaliaNormal"/>
      </w:pPr>
    </w:p>
    <w:p w14:paraId="4AFEEFD6" w14:textId="77777777" w:rsidR="00E91B70" w:rsidRDefault="0050236C">
      <w:pPr>
        <w:pStyle w:val="RedaliaNormal"/>
      </w:pPr>
      <w:r>
        <w:t xml:space="preserve">     a) tout élément permettant la vérification de la qualité et du niveau de sécurité du certificat de signature (preuve de la qualification de l’Autorité de certification, politique de certification, adresse du site internet du référencement de l’Autorité de certification),</w:t>
      </w:r>
    </w:p>
    <w:p w14:paraId="3143C64D" w14:textId="77777777" w:rsidR="00E91B70" w:rsidRDefault="0050236C">
      <w:pPr>
        <w:pStyle w:val="RedaliaNormal"/>
      </w:pPr>
      <w:r>
        <w:t xml:space="preserve">     b) les outils techniques de vérification du certificat </w:t>
      </w:r>
      <w:r>
        <w:t>(chaîne de certification complète jusqu’à l’Autorité de Certification racine, adresse de téléchargement de la dernière mise à jour de la liste de révocation des certificats).</w:t>
      </w:r>
    </w:p>
    <w:p w14:paraId="101B49F3" w14:textId="77777777" w:rsidR="00E91B70" w:rsidRDefault="00E91B70">
      <w:pPr>
        <w:pStyle w:val="RedaliaNormal"/>
      </w:pPr>
    </w:p>
    <w:p w14:paraId="01F097D1" w14:textId="77777777" w:rsidR="00E91B70" w:rsidRDefault="0050236C">
      <w:pPr>
        <w:pStyle w:val="RedaliaNormal"/>
      </w:pPr>
      <w:r>
        <w:lastRenderedPageBreak/>
        <w:t>Il est précisé que tous ces éléments doivent être d’accès et d’utilisation gratuits pour l’acheteur, et être accompagnés le cas échéant de notices d’utilisation claires.</w:t>
      </w:r>
    </w:p>
    <w:p w14:paraId="05FCEAAC" w14:textId="77777777" w:rsidR="00E91B70" w:rsidRDefault="00E91B70">
      <w:pPr>
        <w:pStyle w:val="RedaliaNormal"/>
      </w:pPr>
    </w:p>
    <w:p w14:paraId="52C36F60" w14:textId="77777777" w:rsidR="00E91B70" w:rsidRDefault="0050236C">
      <w:pPr>
        <w:pStyle w:val="RedaliaNormal"/>
      </w:pPr>
      <w:r>
        <w:rPr>
          <w:u w:val="single"/>
        </w:rPr>
        <w:t>Outil de signature utilisé pour signer les fichiers</w:t>
      </w:r>
      <w:r>
        <w:t xml:space="preserve"> :</w:t>
      </w:r>
    </w:p>
    <w:p w14:paraId="2E948AC3" w14:textId="77777777" w:rsidR="00E91B70" w:rsidRDefault="00E91B70">
      <w:pPr>
        <w:pStyle w:val="RedaliaNormal"/>
      </w:pPr>
    </w:p>
    <w:p w14:paraId="139C1DAE" w14:textId="77777777" w:rsidR="00E91B70" w:rsidRDefault="0050236C">
      <w:pPr>
        <w:pStyle w:val="RedaliaNormal"/>
      </w:pPr>
      <w:r>
        <w:t>La réglementation autorise le soumissionnaire à utiliser l’outil de signature de son choix.</w:t>
      </w:r>
    </w:p>
    <w:p w14:paraId="672B5095" w14:textId="77777777" w:rsidR="00E91B70" w:rsidRDefault="00E91B70">
      <w:pPr>
        <w:pStyle w:val="RedaliaNormal"/>
      </w:pPr>
    </w:p>
    <w:p w14:paraId="03BF6310" w14:textId="77777777" w:rsidR="00E91B70" w:rsidRDefault="0050236C">
      <w:pPr>
        <w:pStyle w:val="RedaliaNormal"/>
      </w:pPr>
      <w:r>
        <w:rPr>
          <w:b/>
        </w:rPr>
        <w:t xml:space="preserve">- Cas 1 : Le </w:t>
      </w:r>
      <w:r>
        <w:rPr>
          <w:b/>
        </w:rPr>
        <w:t>soumissionnaire utilise l’outil de signature de la plate-forme - Aucun justificatif à fournir</w:t>
      </w:r>
    </w:p>
    <w:p w14:paraId="604804BF" w14:textId="77777777" w:rsidR="00E91B70" w:rsidRDefault="00E91B70">
      <w:pPr>
        <w:pStyle w:val="RedaliaNormal"/>
      </w:pPr>
    </w:p>
    <w:p w14:paraId="45EB0C79" w14:textId="77777777" w:rsidR="00E91B70" w:rsidRDefault="0050236C">
      <w:pPr>
        <w:pStyle w:val="RedaliaNormal"/>
      </w:pPr>
      <w:r>
        <w:t xml:space="preserve">La plate-forme intègre un outil de signature électronique, qui réalise des Jetons de signature au format réglementaire </w:t>
      </w:r>
      <w:proofErr w:type="spellStart"/>
      <w:r>
        <w:t>XAdES</w:t>
      </w:r>
      <w:proofErr w:type="spellEnd"/>
      <w:r>
        <w:t>.</w:t>
      </w:r>
    </w:p>
    <w:p w14:paraId="654A45D0" w14:textId="77777777" w:rsidR="00E91B70" w:rsidRDefault="00E91B70">
      <w:pPr>
        <w:pStyle w:val="RedaliaNormal"/>
      </w:pPr>
    </w:p>
    <w:p w14:paraId="6D651DD1" w14:textId="77777777" w:rsidR="00E91B70" w:rsidRDefault="0050236C">
      <w:pPr>
        <w:pStyle w:val="RedaliaNormal"/>
      </w:pPr>
      <w:r>
        <w:t>Dans ce cas, le soumissionnaire n’a aucun justificatif à fournir sur les signatures électroniques transmises et l’outil de signature utilisé.</w:t>
      </w:r>
    </w:p>
    <w:p w14:paraId="5B35D249" w14:textId="77777777" w:rsidR="00E91B70" w:rsidRDefault="00E91B70">
      <w:pPr>
        <w:pStyle w:val="RedaliaNormal"/>
      </w:pPr>
    </w:p>
    <w:p w14:paraId="3AD121FF" w14:textId="77777777" w:rsidR="00E91B70" w:rsidRDefault="0050236C">
      <w:pPr>
        <w:pStyle w:val="RedaliaNormal"/>
      </w:pPr>
      <w:r>
        <w:rPr>
          <w:b/>
        </w:rPr>
        <w:t>- Cas 2 : Le soumissionnaire utilise un autre outil de signature que celui intégré à la plate-forme - Différents justificatifs à fournir</w:t>
      </w:r>
    </w:p>
    <w:p w14:paraId="0412078F" w14:textId="77777777" w:rsidR="00E91B70" w:rsidRDefault="00E91B70">
      <w:pPr>
        <w:pStyle w:val="RedaliaNormal"/>
      </w:pPr>
    </w:p>
    <w:p w14:paraId="42B8BD36" w14:textId="77777777" w:rsidR="00E91B70" w:rsidRDefault="0050236C">
      <w:pPr>
        <w:pStyle w:val="RedaliaNormal"/>
      </w:pPr>
      <w:r>
        <w:t xml:space="preserve">Lorsque </w:t>
      </w:r>
      <w:r>
        <w:t>le candidat utilise un autre outil de signature que celui de la plate-forme, il doit respecter les deux obligations suivantes :</w:t>
      </w:r>
    </w:p>
    <w:p w14:paraId="443F864D" w14:textId="77777777" w:rsidR="00E91B70" w:rsidRDefault="00E91B70">
      <w:pPr>
        <w:pStyle w:val="RedaliaNormal"/>
      </w:pPr>
    </w:p>
    <w:p w14:paraId="54100EF7" w14:textId="77777777" w:rsidR="00E91B70" w:rsidRDefault="0050236C">
      <w:pPr>
        <w:pStyle w:val="RedaliaNormal"/>
      </w:pPr>
      <w:r>
        <w:t xml:space="preserve">     a) Produire des formats de signature </w:t>
      </w:r>
      <w:proofErr w:type="spellStart"/>
      <w:r>
        <w:t>XAdES</w:t>
      </w:r>
      <w:proofErr w:type="spellEnd"/>
      <w:r>
        <w:t xml:space="preserve">, </w:t>
      </w:r>
      <w:proofErr w:type="spellStart"/>
      <w:r>
        <w:t>CAdES</w:t>
      </w:r>
      <w:proofErr w:type="spellEnd"/>
      <w:r>
        <w:t xml:space="preserve"> ou </w:t>
      </w:r>
      <w:proofErr w:type="spellStart"/>
      <w:r>
        <w:t>PAdES</w:t>
      </w:r>
      <w:proofErr w:type="spellEnd"/>
      <w:r>
        <w:t>.</w:t>
      </w:r>
    </w:p>
    <w:p w14:paraId="071AEF27" w14:textId="77777777" w:rsidR="00E91B70" w:rsidRDefault="0050236C">
      <w:pPr>
        <w:pStyle w:val="RedaliaNormal"/>
      </w:pPr>
      <w:r>
        <w:t xml:space="preserve">     b) Permettre la vérification en transmettant en parallèle les éléments nécessaires pour procéder à la vérification de la validité de la signature et de l’intégrité du document, et ce, gratuitement.</w:t>
      </w:r>
    </w:p>
    <w:p w14:paraId="2F556158" w14:textId="77777777" w:rsidR="00E91B70" w:rsidRDefault="00E91B70">
      <w:pPr>
        <w:pStyle w:val="RedaliaNormal"/>
      </w:pPr>
    </w:p>
    <w:p w14:paraId="79842CF4" w14:textId="77777777" w:rsidR="00E91B70" w:rsidRDefault="0050236C">
      <w:pPr>
        <w:pStyle w:val="RedaliaNormal"/>
      </w:pPr>
      <w:r>
        <w:t xml:space="preserve">Il est précisé que tous ces éléments doivent être d’accès et d’utilisation gratuits pour l’acheteur, et être </w:t>
      </w:r>
      <w:r>
        <w:t>accompagnés le cas échéant de notices d’utilisation claires.</w:t>
      </w:r>
    </w:p>
    <w:sectPr w:rsidR="00E91B70">
      <w:headerReference w:type="default" r:id="rId36"/>
      <w:footerReference w:type="default" r:id="rId37"/>
      <w:pgSz w:w="11906" w:h="16838"/>
      <w:pgMar w:top="1417" w:right="1417" w:bottom="1417" w:left="1417"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A101E" w14:textId="77777777" w:rsidR="0050236C" w:rsidRDefault="0050236C">
      <w:r>
        <w:separator/>
      </w:r>
    </w:p>
  </w:endnote>
  <w:endnote w:type="continuationSeparator" w:id="0">
    <w:p w14:paraId="55F0A611" w14:textId="77777777" w:rsidR="0050236C" w:rsidRDefault="00502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3F216" w14:textId="77777777" w:rsidR="0050236C" w:rsidRDefault="0050236C">
    <w:pPr>
      <w:rPr>
        <w:i/>
        <w:vanish/>
        <w:sz w:val="16"/>
      </w:rPr>
    </w:pPr>
  </w:p>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907F95" w14:paraId="584F87C6" w14:textId="77777777">
      <w:tblPrEx>
        <w:tblCellMar>
          <w:top w:w="0" w:type="dxa"/>
          <w:bottom w:w="0" w:type="dxa"/>
        </w:tblCellMar>
      </w:tblPrEx>
      <w:tc>
        <w:tcPr>
          <w:tcW w:w="3070" w:type="dxa"/>
          <w:tcBorders>
            <w:top w:val="single" w:sz="4" w:space="0" w:color="000000"/>
          </w:tcBorders>
          <w:tcMar>
            <w:top w:w="0" w:type="dxa"/>
            <w:left w:w="70" w:type="dxa"/>
            <w:bottom w:w="0" w:type="dxa"/>
            <w:right w:w="70" w:type="dxa"/>
          </w:tcMar>
        </w:tcPr>
        <w:p w14:paraId="367AFFF3" w14:textId="77777777" w:rsidR="0050236C" w:rsidRDefault="0050236C">
          <w:pPr>
            <w:pStyle w:val="RdaliaLgende"/>
          </w:pPr>
          <w:r>
            <w:t>Règlement de la consultation</w:t>
          </w:r>
        </w:p>
      </w:tc>
      <w:tc>
        <w:tcPr>
          <w:tcW w:w="3071" w:type="dxa"/>
          <w:tcBorders>
            <w:top w:val="single" w:sz="4" w:space="0" w:color="000000"/>
          </w:tcBorders>
          <w:tcMar>
            <w:top w:w="0" w:type="dxa"/>
            <w:left w:w="70" w:type="dxa"/>
            <w:bottom w:w="0" w:type="dxa"/>
            <w:right w:w="70" w:type="dxa"/>
          </w:tcMar>
        </w:tcPr>
        <w:p w14:paraId="27B9CB78" w14:textId="77777777" w:rsidR="0050236C" w:rsidRDefault="0050236C">
          <w:pPr>
            <w:pStyle w:val="RdaliaLgende"/>
          </w:pPr>
        </w:p>
      </w:tc>
      <w:tc>
        <w:tcPr>
          <w:tcW w:w="3071" w:type="dxa"/>
          <w:tcBorders>
            <w:top w:val="single" w:sz="4" w:space="0" w:color="000000"/>
          </w:tcBorders>
          <w:tcMar>
            <w:top w:w="0" w:type="dxa"/>
            <w:left w:w="70" w:type="dxa"/>
            <w:bottom w:w="0" w:type="dxa"/>
            <w:right w:w="70" w:type="dxa"/>
          </w:tcMar>
        </w:tcPr>
        <w:p w14:paraId="1DBF8B4B" w14:textId="77777777" w:rsidR="0050236C" w:rsidRDefault="0050236C">
          <w:pPr>
            <w:pStyle w:val="RdaliaLgende"/>
            <w:jc w:val="right"/>
          </w:pPr>
          <w:r>
            <w:t xml:space="preserve">Page </w:t>
          </w:r>
          <w:r>
            <w:fldChar w:fldCharType="begin"/>
          </w:r>
          <w:r>
            <w:instrText xml:space="preserve"> PAGE </w:instrText>
          </w:r>
          <w:r>
            <w:fldChar w:fldCharType="separate"/>
          </w:r>
          <w:r>
            <w:t>12</w:t>
          </w:r>
          <w:r>
            <w:fldChar w:fldCharType="end"/>
          </w:r>
          <w:r>
            <w:t xml:space="preserve"> sur </w:t>
          </w:r>
          <w:r>
            <w:fldChar w:fldCharType="begin"/>
          </w:r>
          <w:r>
            <w:instrText xml:space="preserve"> NUMPAGES </w:instrText>
          </w:r>
          <w:r>
            <w:fldChar w:fldCharType="separate"/>
          </w:r>
          <w:r>
            <w:t>12</w:t>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6C943" w14:textId="77777777" w:rsidR="0050236C" w:rsidRDefault="0050236C">
      <w:r>
        <w:rPr>
          <w:color w:val="000000"/>
        </w:rPr>
        <w:separator/>
      </w:r>
    </w:p>
  </w:footnote>
  <w:footnote w:type="continuationSeparator" w:id="0">
    <w:p w14:paraId="4967DFFB" w14:textId="77777777" w:rsidR="0050236C" w:rsidRDefault="005023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2" w:type="dxa"/>
      <w:tblInd w:w="-70" w:type="dxa"/>
      <w:tblLayout w:type="fixed"/>
      <w:tblCellMar>
        <w:left w:w="10" w:type="dxa"/>
        <w:right w:w="10" w:type="dxa"/>
      </w:tblCellMar>
      <w:tblLook w:val="0000" w:firstRow="0" w:lastRow="0" w:firstColumn="0" w:lastColumn="0" w:noHBand="0" w:noVBand="0"/>
    </w:tblPr>
    <w:tblGrid>
      <w:gridCol w:w="3070"/>
      <w:gridCol w:w="3071"/>
      <w:gridCol w:w="3071"/>
    </w:tblGrid>
    <w:tr w:rsidR="00907F95" w14:paraId="450F0446" w14:textId="77777777">
      <w:tblPrEx>
        <w:tblCellMar>
          <w:top w:w="0" w:type="dxa"/>
          <w:bottom w:w="0" w:type="dxa"/>
        </w:tblCellMar>
      </w:tblPrEx>
      <w:tc>
        <w:tcPr>
          <w:tcW w:w="3070" w:type="dxa"/>
          <w:tcBorders>
            <w:bottom w:val="single" w:sz="4" w:space="0" w:color="000000"/>
          </w:tcBorders>
          <w:tcMar>
            <w:top w:w="0" w:type="dxa"/>
            <w:left w:w="70" w:type="dxa"/>
            <w:bottom w:w="0" w:type="dxa"/>
            <w:right w:w="70" w:type="dxa"/>
          </w:tcMar>
        </w:tcPr>
        <w:p w14:paraId="0C934140" w14:textId="77777777" w:rsidR="0050236C" w:rsidRDefault="0050236C">
          <w:pPr>
            <w:pStyle w:val="RdaliaLgende"/>
          </w:pPr>
        </w:p>
      </w:tc>
      <w:tc>
        <w:tcPr>
          <w:tcW w:w="3071" w:type="dxa"/>
          <w:tcBorders>
            <w:bottom w:val="single" w:sz="4" w:space="0" w:color="000000"/>
          </w:tcBorders>
          <w:tcMar>
            <w:top w:w="0" w:type="dxa"/>
            <w:left w:w="70" w:type="dxa"/>
            <w:bottom w:w="0" w:type="dxa"/>
            <w:right w:w="70" w:type="dxa"/>
          </w:tcMar>
        </w:tcPr>
        <w:p w14:paraId="083AE8DA" w14:textId="77777777" w:rsidR="0050236C" w:rsidRDefault="0050236C">
          <w:pPr>
            <w:pStyle w:val="RdaliaLgende"/>
          </w:pPr>
        </w:p>
      </w:tc>
      <w:tc>
        <w:tcPr>
          <w:tcW w:w="3071" w:type="dxa"/>
          <w:tcBorders>
            <w:bottom w:val="single" w:sz="4" w:space="0" w:color="000000"/>
          </w:tcBorders>
          <w:tcMar>
            <w:top w:w="0" w:type="dxa"/>
            <w:left w:w="70" w:type="dxa"/>
            <w:bottom w:w="0" w:type="dxa"/>
            <w:right w:w="70" w:type="dxa"/>
          </w:tcMar>
        </w:tcPr>
        <w:p w14:paraId="5703BA4D" w14:textId="77777777" w:rsidR="0050236C" w:rsidRDefault="0050236C">
          <w:pPr>
            <w:pStyle w:val="RdaliaLgende"/>
            <w:jc w:val="right"/>
          </w:pPr>
          <w:r>
            <w:t>Procédure : MENBISCA</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8609B"/>
    <w:multiLevelType w:val="multilevel"/>
    <w:tmpl w:val="B6EACC18"/>
    <w:styleLink w:val="LFO29"/>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4E63B3"/>
    <w:multiLevelType w:val="multilevel"/>
    <w:tmpl w:val="4E4E5ECE"/>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decimal"/>
      <w:lvlText w:val="%1.%2.%3.%4.%5.%6.%7"/>
      <w:lvlJc w:val="left"/>
      <w:pPr>
        <w:ind w:left="4415" w:hanging="1296"/>
      </w:pPr>
      <w:rPr>
        <w:rFonts w:cs="Times New Roman"/>
      </w:rPr>
    </w:lvl>
    <w:lvl w:ilvl="7">
      <w:start w:val="1"/>
      <w:numFmt w:val="decimal"/>
      <w:lvlText w:val="%1.%2.%3.%4.%5.%6.%7.%8"/>
      <w:lvlJc w:val="left"/>
      <w:pPr>
        <w:ind w:left="4559" w:hanging="1440"/>
      </w:pPr>
      <w:rPr>
        <w:rFonts w:cs="Times New Roman"/>
      </w:rPr>
    </w:lvl>
    <w:lvl w:ilvl="8">
      <w:start w:val="1"/>
      <w:numFmt w:val="decimal"/>
      <w:lvlText w:val="%1.%2.%3.%4.%5.%6.%7.%8.%9"/>
      <w:lvlJc w:val="left"/>
      <w:pPr>
        <w:ind w:left="4703" w:hanging="1584"/>
      </w:pPr>
      <w:rPr>
        <w:rFonts w:cs="Times New Roman"/>
      </w:rPr>
    </w:lvl>
  </w:abstractNum>
  <w:abstractNum w:abstractNumId="2" w15:restartNumberingAfterBreak="0">
    <w:nsid w:val="13955D5A"/>
    <w:multiLevelType w:val="multilevel"/>
    <w:tmpl w:val="15CCB8E8"/>
    <w:styleLink w:val="LFO26"/>
    <w:lvl w:ilvl="0">
      <w:numFmt w:val="bullet"/>
      <w:lvlText w:val=""/>
      <w:lvlJc w:val="left"/>
      <w:pPr>
        <w:ind w:left="36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870438B"/>
    <w:multiLevelType w:val="multilevel"/>
    <w:tmpl w:val="F6E8A26E"/>
    <w:styleLink w:val="LFO1"/>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B971D90"/>
    <w:multiLevelType w:val="multilevel"/>
    <w:tmpl w:val="BEA2BCFE"/>
    <w:styleLink w:val="LFO33"/>
    <w:lvl w:ilvl="0">
      <w:start w:val="1"/>
      <w:numFmt w:val="decimal"/>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15:restartNumberingAfterBreak="0">
    <w:nsid w:val="200B07F4"/>
    <w:multiLevelType w:val="multilevel"/>
    <w:tmpl w:val="75E42F44"/>
    <w:styleLink w:val="LFO18"/>
    <w:lvl w:ilvl="0">
      <w:start w:val="1"/>
      <w:numFmt w:val="decimal"/>
      <w:suff w:val="space"/>
      <w:lvlText w:val="%1."/>
      <w:lvlJc w:val="left"/>
      <w:pPr>
        <w:ind w:left="360" w:hanging="360"/>
      </w:pPr>
    </w:lvl>
    <w:lvl w:ilvl="1">
      <w:start w:val="1"/>
      <w:numFmt w:val="decimal"/>
      <w:suff w:val="space"/>
      <w:lvlText w:val="%1.%2"/>
      <w:lvlJc w:val="left"/>
      <w:pPr>
        <w:ind w:left="720" w:hanging="360"/>
      </w:pPr>
    </w:lvl>
    <w:lvl w:ilvl="2">
      <w:start w:val="1"/>
      <w:numFmt w:val="decimal"/>
      <w:suff w:val="space"/>
      <w:lvlText w:val="%1.%2.%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19D46EB"/>
    <w:multiLevelType w:val="multilevel"/>
    <w:tmpl w:val="E4900976"/>
    <w:styleLink w:val="LFO25"/>
    <w:lvl w:ilvl="0">
      <w:numFmt w:val="bullet"/>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7755C8E"/>
    <w:multiLevelType w:val="multilevel"/>
    <w:tmpl w:val="E51AC1E6"/>
    <w:styleLink w:val="LFO23"/>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8" w15:restartNumberingAfterBreak="0">
    <w:nsid w:val="279370F6"/>
    <w:multiLevelType w:val="multilevel"/>
    <w:tmpl w:val="A15E3306"/>
    <w:styleLink w:val="LFO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9" w15:restartNumberingAfterBreak="0">
    <w:nsid w:val="2EEE2FC1"/>
    <w:multiLevelType w:val="multilevel"/>
    <w:tmpl w:val="84B69DBA"/>
    <w:styleLink w:val="LFO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0" w15:restartNumberingAfterBreak="0">
    <w:nsid w:val="31CB711A"/>
    <w:multiLevelType w:val="multilevel"/>
    <w:tmpl w:val="A020910A"/>
    <w:styleLink w:val="LFO28"/>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3D151675"/>
    <w:multiLevelType w:val="multilevel"/>
    <w:tmpl w:val="62DAD68A"/>
    <w:styleLink w:val="LFO21"/>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2" w15:restartNumberingAfterBreak="0">
    <w:nsid w:val="4FD97C83"/>
    <w:multiLevelType w:val="multilevel"/>
    <w:tmpl w:val="0BE46394"/>
    <w:styleLink w:val="LFO24"/>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3" w15:restartNumberingAfterBreak="0">
    <w:nsid w:val="53F05492"/>
    <w:multiLevelType w:val="multilevel"/>
    <w:tmpl w:val="56BA7092"/>
    <w:styleLink w:val="LFO231"/>
    <w:lvl w:ilvl="0">
      <w:start w:val="1"/>
      <w:numFmt w:val="decimal"/>
      <w:pStyle w:val="Chapitre"/>
      <w:lvlText w:val="%1."/>
      <w:lvlJc w:val="left"/>
      <w:pPr>
        <w:ind w:left="283" w:hanging="283"/>
      </w:pPr>
      <w:rPr>
        <w:rFonts w:ascii="Verdana" w:hAnsi="Verdana" w:cs="Verdana"/>
      </w:rPr>
    </w:lvl>
    <w:lvl w:ilvl="1">
      <w:start w:val="1"/>
      <w:numFmt w:val="decimal"/>
      <w:lvlText w:val="%1.%2."/>
      <w:lvlJc w:val="left"/>
      <w:pPr>
        <w:ind w:left="850" w:hanging="283"/>
      </w:pPr>
      <w:rPr>
        <w:rFonts w:cs="Times New Roman"/>
      </w:rPr>
    </w:lvl>
    <w:lvl w:ilvl="2">
      <w:start w:val="1"/>
      <w:numFmt w:val="decimal"/>
      <w:lvlText w:val="%1.%2.%3"/>
      <w:lvlJc w:val="left"/>
      <w:pPr>
        <w:ind w:left="720" w:firstLine="850"/>
      </w:pPr>
      <w:rPr>
        <w:rFonts w:cs="Times New Roman"/>
      </w:rPr>
    </w:lvl>
    <w:lvl w:ilvl="3">
      <w:start w:val="1"/>
      <w:numFmt w:val="decimal"/>
      <w:lvlText w:val="%1.%2.%3.%4."/>
      <w:lvlJc w:val="left"/>
      <w:pPr>
        <w:ind w:left="2578" w:hanging="648"/>
      </w:pPr>
      <w:rPr>
        <w:rFonts w:cs="Times New Roman"/>
      </w:rPr>
    </w:lvl>
    <w:lvl w:ilvl="4">
      <w:start w:val="1"/>
      <w:numFmt w:val="decimal"/>
      <w:lvlText w:val="%1.%2.%3.%4.%5."/>
      <w:lvlJc w:val="left"/>
      <w:pPr>
        <w:ind w:left="3082" w:hanging="792"/>
      </w:pPr>
      <w:rPr>
        <w:rFonts w:cs="Times New Roman"/>
      </w:rPr>
    </w:lvl>
    <w:lvl w:ilvl="5">
      <w:start w:val="1"/>
      <w:numFmt w:val="decimal"/>
      <w:lvlText w:val="%1.%2.%3.%4.%5.%6."/>
      <w:lvlJc w:val="left"/>
      <w:pPr>
        <w:ind w:left="3586" w:hanging="936"/>
      </w:pPr>
      <w:rPr>
        <w:rFonts w:cs="Times New Roman"/>
      </w:rPr>
    </w:lvl>
    <w:lvl w:ilvl="6">
      <w:start w:val="1"/>
      <w:numFmt w:val="decimal"/>
      <w:lvlText w:val="%1.%2.%3.%4.%5.%6.%7."/>
      <w:lvlJc w:val="left"/>
      <w:pPr>
        <w:ind w:left="4090" w:hanging="1080"/>
      </w:pPr>
      <w:rPr>
        <w:rFonts w:cs="Times New Roman"/>
      </w:rPr>
    </w:lvl>
    <w:lvl w:ilvl="7">
      <w:start w:val="1"/>
      <w:numFmt w:val="decimal"/>
      <w:lvlText w:val="%1.%2.%3.%4.%5.%6.%7.%8."/>
      <w:lvlJc w:val="left"/>
      <w:pPr>
        <w:ind w:left="4594" w:hanging="1224"/>
      </w:pPr>
      <w:rPr>
        <w:rFonts w:cs="Times New Roman"/>
      </w:rPr>
    </w:lvl>
    <w:lvl w:ilvl="8">
      <w:start w:val="1"/>
      <w:numFmt w:val="decimal"/>
      <w:lvlText w:val="%1.%2.%3.%4.%5.%6.%7.%8.%9."/>
      <w:lvlJc w:val="left"/>
      <w:pPr>
        <w:ind w:left="5170" w:hanging="1440"/>
      </w:pPr>
      <w:rPr>
        <w:rFonts w:cs="Times New Roman"/>
      </w:rPr>
    </w:lvl>
  </w:abstractNum>
  <w:abstractNum w:abstractNumId="14" w15:restartNumberingAfterBreak="0">
    <w:nsid w:val="57896671"/>
    <w:multiLevelType w:val="multilevel"/>
    <w:tmpl w:val="873C6788"/>
    <w:styleLink w:val="LFO221"/>
    <w:lvl w:ilvl="0">
      <w:numFmt w:val="bullet"/>
      <w:pStyle w:val="AvecPuce"/>
      <w:lvlText w:val=""/>
      <w:lvlJc w:val="left"/>
      <w:pPr>
        <w:ind w:left="340" w:hanging="34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AA40C04"/>
    <w:multiLevelType w:val="multilevel"/>
    <w:tmpl w:val="29645DF2"/>
    <w:styleLink w:val="LFO241"/>
    <w:lvl w:ilvl="0">
      <w:numFmt w:val="bullet"/>
      <w:pStyle w:val="Elmentrecens"/>
      <w:lvlText w:val="●"/>
      <w:lvlJc w:val="left"/>
      <w:pPr>
        <w:ind w:left="284" w:firstLine="0"/>
      </w:p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6" w15:restartNumberingAfterBreak="0">
    <w:nsid w:val="5BE52608"/>
    <w:multiLevelType w:val="multilevel"/>
    <w:tmpl w:val="5AAE4A2E"/>
    <w:styleLink w:val="WWOutlineListStyle"/>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624711D6"/>
    <w:multiLevelType w:val="multilevel"/>
    <w:tmpl w:val="0AB4151C"/>
    <w:styleLink w:val="LFO3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A157091"/>
    <w:multiLevelType w:val="multilevel"/>
    <w:tmpl w:val="951E0F76"/>
    <w:styleLink w:val="LFO22"/>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9" w15:restartNumberingAfterBreak="0">
    <w:nsid w:val="6D3F595F"/>
    <w:multiLevelType w:val="multilevel"/>
    <w:tmpl w:val="AABA4A26"/>
    <w:styleLink w:val="LFO20"/>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num w:numId="1" w16cid:durableId="1301308326">
    <w:abstractNumId w:val="1"/>
  </w:num>
  <w:num w:numId="2" w16cid:durableId="569467626">
    <w:abstractNumId w:val="2"/>
  </w:num>
  <w:num w:numId="3" w16cid:durableId="1177035765">
    <w:abstractNumId w:val="18"/>
  </w:num>
  <w:num w:numId="4" w16cid:durableId="387188364">
    <w:abstractNumId w:val="7"/>
  </w:num>
  <w:num w:numId="5" w16cid:durableId="1412510573">
    <w:abstractNumId w:val="12"/>
  </w:num>
  <w:num w:numId="6" w16cid:durableId="82339525">
    <w:abstractNumId w:val="4"/>
  </w:num>
  <w:num w:numId="7" w16cid:durableId="491599907">
    <w:abstractNumId w:val="17"/>
  </w:num>
  <w:num w:numId="8" w16cid:durableId="317266422">
    <w:abstractNumId w:val="16"/>
  </w:num>
  <w:num w:numId="9" w16cid:durableId="497229842">
    <w:abstractNumId w:val="6"/>
  </w:num>
  <w:num w:numId="10" w16cid:durableId="1700355986">
    <w:abstractNumId w:val="3"/>
  </w:num>
  <w:num w:numId="11" w16cid:durableId="1803384483">
    <w:abstractNumId w:val="8"/>
  </w:num>
  <w:num w:numId="12" w16cid:durableId="706680043">
    <w:abstractNumId w:val="9"/>
  </w:num>
  <w:num w:numId="13" w16cid:durableId="1272208139">
    <w:abstractNumId w:val="5"/>
  </w:num>
  <w:num w:numId="14" w16cid:durableId="361320204">
    <w:abstractNumId w:val="19"/>
  </w:num>
  <w:num w:numId="15" w16cid:durableId="76635601">
    <w:abstractNumId w:val="11"/>
  </w:num>
  <w:num w:numId="16" w16cid:durableId="816414263">
    <w:abstractNumId w:val="14"/>
  </w:num>
  <w:num w:numId="17" w16cid:durableId="1999726664">
    <w:abstractNumId w:val="13"/>
  </w:num>
  <w:num w:numId="18" w16cid:durableId="1388146409">
    <w:abstractNumId w:val="15"/>
  </w:num>
  <w:num w:numId="19" w16cid:durableId="1663239724">
    <w:abstractNumId w:val="10"/>
  </w:num>
  <w:num w:numId="20" w16cid:durableId="973483595">
    <w:abstractNumId w:val="0"/>
  </w:num>
  <w:num w:numId="21" w16cid:durableId="109514841">
    <w:abstractNumId w:val="11"/>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91B70"/>
    <w:rsid w:val="00274139"/>
    <w:rsid w:val="0050236C"/>
    <w:rsid w:val="00D064B1"/>
    <w:rsid w:val="00E91B7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15EA4E"/>
  <w15:docId w15:val="{A42A2036-BE4F-41F3-B32A-148CE4305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2">
    <w:name w:val="Redalia Titre 2"/>
    <w:basedOn w:val="Normal"/>
    <w:next w:val="Normal"/>
    <w:pPr>
      <w:spacing w:before="240" w:after="160"/>
      <w:outlineLvl w:val="1"/>
    </w:pPr>
    <w:rPr>
      <w:sz w:val="28"/>
      <w:u w:val="single"/>
    </w:rPr>
  </w:style>
  <w:style w:type="paragraph" w:customStyle="1" w:styleId="RedaliaTitre3">
    <w:name w:val="Redalia Titre 3"/>
    <w:basedOn w:val="Normal"/>
    <w:pPr>
      <w:overflowPunct w:val="0"/>
      <w:autoSpaceDE w:val="0"/>
      <w:spacing w:before="240" w:after="160"/>
      <w:jc w:val="both"/>
      <w:outlineLvl w:val="2"/>
    </w:pPr>
    <w:rPr>
      <w:sz w:val="24"/>
      <w:u w:val="single"/>
    </w:rPr>
  </w:style>
  <w:style w:type="paragraph" w:customStyle="1" w:styleId="RedaliaTitre1">
    <w:name w:val="Redalia Titre 1"/>
    <w:basedOn w:val="Normal"/>
    <w:pPr>
      <w:spacing w:before="240" w:after="160"/>
      <w:outlineLvl w:val="0"/>
    </w:pPr>
    <w:rPr>
      <w:b/>
      <w:sz w:val="32"/>
    </w:rPr>
  </w:style>
  <w:style w:type="paragraph" w:customStyle="1" w:styleId="RedaliaTitredocument">
    <w:name w:val="Redalia : Titre document"/>
    <w:basedOn w:val="RedaliaNormal"/>
    <w:pPr>
      <w:jc w:val="center"/>
    </w:pPr>
    <w:rPr>
      <w:b/>
      <w:sz w:val="40"/>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pPr>
      <w:keepNext w:val="0"/>
      <w:tabs>
        <w:tab w:val="right" w:leader="dot" w:pos="9072"/>
      </w:tabs>
      <w:spacing w:before="120" w:after="0"/>
    </w:pPr>
    <w:rPr>
      <w:sz w:val="24"/>
    </w:rPr>
  </w:style>
  <w:style w:type="paragraph" w:styleId="TM2">
    <w:name w:val="toc 2"/>
    <w:basedOn w:val="Titre2"/>
    <w:next w:val="Normal"/>
    <w:pPr>
      <w:keepNext w:val="0"/>
      <w:tabs>
        <w:tab w:val="right" w:leader="dot" w:pos="9072"/>
      </w:tabs>
      <w:spacing w:before="120" w:after="0"/>
      <w:ind w:left="198"/>
    </w:pPr>
    <w:rPr>
      <w:sz w:val="22"/>
      <w:u w:val="none"/>
    </w:rPr>
  </w:style>
  <w:style w:type="paragraph" w:styleId="TM3">
    <w:name w:val="toc 3"/>
    <w:basedOn w:val="Titre3"/>
    <w:next w:val="Normal"/>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style>
  <w:style w:type="paragraph" w:customStyle="1" w:styleId="RdaliaRetraitniveau1">
    <w:name w:val="Rédalia : Retrait niveau 1"/>
    <w:basedOn w:val="RedaliaNormal"/>
    <w:pPr>
      <w:numPr>
        <w:numId w:val="11"/>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10"/>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DGATitre1">
    <w:name w:val="DGA Titre1"/>
    <w:basedOn w:val="Titre1"/>
    <w:pPr>
      <w:tabs>
        <w:tab w:val="left" w:pos="360"/>
      </w:tabs>
      <w:overflowPunct w:val="0"/>
      <w:autoSpaceDE w:val="0"/>
      <w:ind w:left="360" w:hanging="360"/>
    </w:pPr>
    <w:rPr>
      <w:sz w:val="28"/>
    </w:rPr>
  </w:style>
  <w:style w:type="paragraph" w:customStyle="1" w:styleId="Redaliapuces">
    <w:name w:val="Redalia : puces"/>
    <w:basedOn w:val="RedaliaNormal"/>
    <w:pPr>
      <w:numPr>
        <w:numId w:val="14"/>
      </w:numPr>
    </w:pPr>
  </w:style>
  <w:style w:type="paragraph" w:customStyle="1" w:styleId="RedaliaContenudetableau">
    <w:name w:val="Redalia : Contenu de tableau"/>
    <w:basedOn w:val="RedaliaNormal"/>
    <w:rPr>
      <w:sz w:val="18"/>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15"/>
      </w:numPr>
    </w:pPr>
  </w:style>
  <w:style w:type="paragraph" w:customStyle="1" w:styleId="RedaliaCentr">
    <w:name w:val="Redalia : Centré"/>
    <w:basedOn w:val="RedaliaNormal"/>
    <w:next w:val="RedaliaNormal"/>
    <w:pPr>
      <w:jc w:val="center"/>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 w:val="18"/>
      <w:szCs w:val="18"/>
    </w:rPr>
  </w:style>
  <w:style w:type="paragraph" w:customStyle="1" w:styleId="RdaliaCommentairesAE">
    <w:name w:val="Rédalia : Commentaires AE"/>
    <w:basedOn w:val="RedaliaNormal"/>
    <w:pPr>
      <w:overflowPunct w:val="0"/>
      <w:autoSpaceDE w:val="0"/>
    </w:pPr>
    <w:rPr>
      <w:rFonts w:ascii="Verdana" w:eastAsia="Verdana" w:hAnsi="Verdana" w:cs="Verdana"/>
      <w:i/>
      <w:iCs/>
      <w:color w:val="808080"/>
      <w:sz w:val="14"/>
      <w:szCs w:val="14"/>
    </w:rPr>
  </w:style>
  <w:style w:type="paragraph" w:styleId="TM6">
    <w:name w:val="toc 6"/>
    <w:basedOn w:val="Normal"/>
    <w:next w:val="Normal"/>
    <w:autoRedefine/>
    <w:pPr>
      <w:ind w:left="960"/>
    </w:pPr>
  </w:style>
  <w:style w:type="paragraph" w:styleId="TM7">
    <w:name w:val="toc 7"/>
    <w:basedOn w:val="Normal"/>
    <w:next w:val="Normal"/>
    <w:autoRedefine/>
    <w:pPr>
      <w:ind w:left="1200"/>
    </w:pPr>
  </w:style>
  <w:style w:type="paragraph" w:styleId="TM8">
    <w:name w:val="toc 8"/>
    <w:basedOn w:val="Normal"/>
    <w:next w:val="Normal"/>
    <w:autoRedefine/>
    <w:pPr>
      <w:ind w:left="1440"/>
    </w:pPr>
  </w:style>
  <w:style w:type="paragraph" w:styleId="TM9">
    <w:name w:val="toc 9"/>
    <w:basedOn w:val="Normal"/>
    <w:next w:val="Normal"/>
    <w:autoRedefine/>
    <w:pPr>
      <w:ind w:left="1680"/>
    </w:pPr>
  </w:style>
  <w:style w:type="paragraph" w:styleId="En-tte">
    <w:name w:val="header"/>
    <w:basedOn w:val="HeaderandFooter"/>
  </w:style>
  <w:style w:type="paragraph" w:styleId="Pieddepage">
    <w:name w:val="footer"/>
    <w:basedOn w:val="HeaderandFooter"/>
  </w:style>
  <w:style w:type="paragraph" w:customStyle="1" w:styleId="RedaliaSoustitredocument">
    <w:name w:val="Redalia : Sous titre document"/>
    <w:basedOn w:val="RedaliaNormal"/>
    <w:next w:val="RedaliaNormal"/>
    <w:pPr>
      <w:jc w:val="center"/>
    </w:pPr>
    <w:rPr>
      <w:sz w:val="28"/>
    </w:rPr>
  </w:style>
  <w:style w:type="paragraph" w:customStyle="1" w:styleId="AvecPuce">
    <w:name w:val="Avec Puce"/>
    <w:basedOn w:val="Normal"/>
    <w:pPr>
      <w:numPr>
        <w:numId w:val="16"/>
      </w:numPr>
      <w:tabs>
        <w:tab w:val="left" w:pos="2880"/>
      </w:tabs>
      <w:spacing w:after="120"/>
    </w:pPr>
  </w:style>
  <w:style w:type="paragraph" w:customStyle="1" w:styleId="Chapitre">
    <w:name w:val="Chapitre"/>
    <w:basedOn w:val="Normal"/>
    <w:pPr>
      <w:numPr>
        <w:numId w:val="17"/>
      </w:numPr>
      <w:tabs>
        <w:tab w:val="left" w:pos="720"/>
      </w:tabs>
      <w:spacing w:before="240" w:after="240"/>
    </w:pPr>
    <w:rPr>
      <w:rFonts w:ascii="Arial Narrow" w:eastAsia="Arial Narrow" w:hAnsi="Arial Narrow" w:cs="Arial Narrow"/>
      <w:color w:val="003366"/>
      <w:sz w:val="36"/>
      <w:szCs w:val="36"/>
    </w:rPr>
  </w:style>
  <w:style w:type="paragraph" w:customStyle="1" w:styleId="Chapitre2">
    <w:name w:val="Chapitre 2"/>
    <w:basedOn w:val="Chapitre"/>
    <w:pPr>
      <w:pBdr>
        <w:top w:val="single" w:sz="12" w:space="1" w:color="003366"/>
        <w:left w:val="single" w:sz="12" w:space="4" w:color="003366"/>
        <w:bottom w:val="single" w:sz="12" w:space="1" w:color="003366"/>
        <w:right w:val="single" w:sz="12" w:space="4" w:color="003366"/>
      </w:pBdr>
      <w:shd w:val="clear" w:color="auto" w:fill="E0E0E0"/>
      <w:tabs>
        <w:tab w:val="clear" w:pos="720"/>
      </w:tabs>
      <w:spacing w:before="360" w:after="0"/>
      <w:ind w:left="567" w:firstLine="0"/>
    </w:pPr>
    <w:rPr>
      <w:rFonts w:ascii="Tahoma" w:eastAsia="Tahoma" w:hAnsi="Tahoma" w:cs="Tahoma"/>
      <w:b/>
      <w:bCs/>
      <w:sz w:val="24"/>
      <w:szCs w:val="24"/>
    </w:rPr>
  </w:style>
  <w:style w:type="paragraph" w:styleId="Commentaire">
    <w:name w:val="annotation text"/>
    <w:basedOn w:val="Normal"/>
  </w:style>
  <w:style w:type="paragraph" w:styleId="Corpsdetexte">
    <w:name w:val="Body Text"/>
    <w:basedOn w:val="Normal"/>
  </w:style>
  <w:style w:type="paragraph" w:styleId="Corpsdetexte2">
    <w:name w:val="Body Text 2"/>
    <w:basedOn w:val="Normal"/>
    <w:pPr>
      <w:jc w:val="center"/>
    </w:pPr>
    <w:rPr>
      <w:sz w:val="16"/>
      <w:szCs w:val="16"/>
    </w:rPr>
  </w:style>
  <w:style w:type="paragraph" w:styleId="Corpsdetexte3">
    <w:name w:val="Body Text 3"/>
    <w:basedOn w:val="Normal"/>
    <w:rPr>
      <w:i/>
      <w:iCs/>
    </w:rPr>
  </w:style>
  <w:style w:type="paragraph" w:customStyle="1" w:styleId="Elmentrecens">
    <w:name w:val="Elément recensé"/>
    <w:basedOn w:val="Normal"/>
    <w:pPr>
      <w:numPr>
        <w:numId w:val="18"/>
      </w:numPr>
      <w:tabs>
        <w:tab w:val="left" w:pos="644"/>
      </w:tabs>
    </w:pPr>
  </w:style>
  <w:style w:type="paragraph" w:styleId="NormalWeb">
    <w:name w:val="Normal (Web)"/>
    <w:basedOn w:val="Normal"/>
    <w:pPr>
      <w:spacing w:before="100" w:after="100"/>
    </w:pPr>
  </w:style>
  <w:style w:type="paragraph" w:styleId="Retraitcorpsdetexte">
    <w:name w:val="Body Text Indent"/>
    <w:basedOn w:val="Normal"/>
    <w:pPr>
      <w:ind w:left="540"/>
    </w:pPr>
  </w:style>
  <w:style w:type="paragraph" w:customStyle="1" w:styleId="StyleAvecPuceGras">
    <w:name w:val="Style Avec Puce + Gras"/>
    <w:basedOn w:val="AvecPuce"/>
    <w:rPr>
      <w:b/>
      <w:bCs/>
    </w:rPr>
  </w:style>
  <w:style w:type="paragraph" w:styleId="Textedebulles">
    <w:name w:val="Balloon Text"/>
    <w:basedOn w:val="Normal"/>
    <w:rPr>
      <w:rFonts w:ascii="Tahoma" w:eastAsia="Tahoma" w:hAnsi="Tahoma" w:cs="Tahoma"/>
      <w:sz w:val="16"/>
      <w:szCs w:val="16"/>
    </w:rPr>
  </w:style>
  <w:style w:type="paragraph" w:styleId="Titre">
    <w:name w:val="Title"/>
    <w:basedOn w:val="Normal"/>
    <w:next w:val="Normal"/>
    <w:uiPriority w:val="10"/>
    <w:qFormat/>
    <w:rPr>
      <w:spacing w:val="-10"/>
      <w:kern w:val="3"/>
      <w:sz w:val="56"/>
      <w:szCs w:val="56"/>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pacing w:before="100" w:after="100"/>
      <w:textAlignment w:val="top"/>
    </w:pPr>
    <w:rPr>
      <w:sz w:val="12"/>
      <w:szCs w:val="12"/>
    </w:rPr>
  </w:style>
  <w:style w:type="paragraph" w:customStyle="1" w:styleId="xl25">
    <w:name w:val="xl25"/>
    <w:basedOn w:val="Normal"/>
    <w:pPr>
      <w:spacing w:before="100" w:after="100"/>
    </w:pPr>
    <w:rPr>
      <w:sz w:val="12"/>
      <w:szCs w:val="12"/>
    </w:rPr>
  </w:style>
  <w:style w:type="paragraph" w:customStyle="1" w:styleId="xl26">
    <w:name w:val="xl26"/>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pacing w:before="100" w:after="100"/>
      <w:textAlignment w:val="top"/>
    </w:pPr>
    <w:rPr>
      <w:b/>
      <w:bCs/>
      <w:sz w:val="12"/>
      <w:szCs w:val="12"/>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pPr>
    <w:rPr>
      <w:sz w:val="12"/>
      <w:szCs w:val="12"/>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00CCFF"/>
      <w:spacing w:before="100" w:after="100"/>
      <w:jc w:val="center"/>
      <w:textAlignment w:val="center"/>
    </w:pPr>
    <w:rPr>
      <w:sz w:val="12"/>
      <w:szCs w:val="12"/>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CCFFCC"/>
      <w:spacing w:before="100" w:after="100"/>
    </w:pPr>
    <w:rPr>
      <w:sz w:val="12"/>
      <w:szCs w:val="12"/>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100" w:after="100"/>
    </w:pPr>
    <w:rPr>
      <w:sz w:val="12"/>
      <w:szCs w:val="12"/>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CCFFFF"/>
      <w:spacing w:before="100" w:after="100"/>
    </w:pPr>
    <w:rPr>
      <w:sz w:val="12"/>
      <w:szCs w:val="12"/>
    </w:rPr>
  </w:style>
  <w:style w:type="paragraph" w:customStyle="1" w:styleId="xl33">
    <w:name w:val="xl33"/>
    <w:basedOn w:val="Normal"/>
    <w:pPr>
      <w:pBdr>
        <w:top w:val="single" w:sz="4" w:space="0" w:color="000000"/>
        <w:left w:val="single" w:sz="4" w:space="0" w:color="000000"/>
        <w:bottom w:val="single" w:sz="4" w:space="0" w:color="000000"/>
        <w:right w:val="single" w:sz="4" w:space="0" w:color="000000"/>
      </w:pBdr>
      <w:shd w:val="clear" w:color="auto" w:fill="FFFF00"/>
      <w:spacing w:before="100" w:after="100"/>
    </w:pPr>
    <w:rPr>
      <w:b/>
      <w:bCs/>
      <w:sz w:val="12"/>
      <w:szCs w:val="12"/>
    </w:rPr>
  </w:style>
  <w:style w:type="paragraph" w:customStyle="1" w:styleId="xl34">
    <w:name w:val="xl34"/>
    <w:basedOn w:val="Normal"/>
    <w:pPr>
      <w:spacing w:before="100" w:after="100"/>
      <w:textAlignment w:val="top"/>
    </w:pPr>
    <w:rPr>
      <w:sz w:val="12"/>
      <w:szCs w:val="12"/>
    </w:rPr>
  </w:style>
  <w:style w:type="paragraph" w:customStyle="1" w:styleId="xl35">
    <w:name w:val="xl35"/>
    <w:basedOn w:val="Normal"/>
    <w:pPr>
      <w:spacing w:before="100" w:after="100"/>
    </w:pPr>
    <w:rPr>
      <w:sz w:val="12"/>
      <w:szCs w:val="12"/>
    </w:rPr>
  </w:style>
  <w:style w:type="paragraph" w:customStyle="1" w:styleId="xl36">
    <w:name w:val="xl36"/>
    <w:basedOn w:val="Normal"/>
    <w:pPr>
      <w:shd w:val="clear" w:color="auto" w:fill="00CCFF"/>
      <w:spacing w:before="100" w:after="100"/>
      <w:jc w:val="center"/>
    </w:pPr>
    <w:rPr>
      <w:b/>
      <w:bCs/>
      <w:sz w:val="12"/>
      <w:szCs w:val="12"/>
    </w:rPr>
  </w:style>
  <w:style w:type="paragraph" w:customStyle="1" w:styleId="xl37">
    <w:name w:val="xl37"/>
    <w:basedOn w:val="Normal"/>
    <w:pPr>
      <w:shd w:val="clear" w:color="auto" w:fill="00CCFF"/>
      <w:spacing w:before="100" w:after="100"/>
      <w:jc w:val="center"/>
    </w:pPr>
    <w:rPr>
      <w:b/>
      <w:bCs/>
      <w:sz w:val="12"/>
      <w:szCs w:val="12"/>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20"/>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19"/>
      </w:numPr>
      <w:tabs>
        <w:tab w:val="left" w:pos="207"/>
      </w:tabs>
      <w:spacing w:before="120" w:after="120"/>
      <w:jc w:val="both"/>
    </w:pPr>
    <w:rPr>
      <w:rFonts w:cs="Calibri"/>
      <w:b/>
      <w:bCs/>
      <w:sz w:val="24"/>
      <w:szCs w:val="28"/>
    </w:rPr>
  </w:style>
  <w:style w:type="paragraph" w:customStyle="1" w:styleId="redaliatitre20">
    <w:name w:val="redaliatitre2"/>
    <w:basedOn w:val="Normal"/>
    <w:pPr>
      <w:widowControl/>
      <w:spacing w:before="100" w:after="100"/>
    </w:pPr>
    <w:rPr>
      <w:rFonts w:ascii="Times New Roman" w:eastAsia="Times New Roman" w:hAnsi="Times New Roman" w:cs="Times New Roman"/>
      <w:sz w:val="24"/>
      <w:szCs w:val="24"/>
    </w:rPr>
  </w:style>
  <w:style w:type="paragraph" w:customStyle="1" w:styleId="redalianormal0">
    <w:name w:val="redalianormal"/>
    <w:basedOn w:val="Normal"/>
    <w:pPr>
      <w:widowControl/>
      <w:spacing w:before="100" w:after="100"/>
    </w:pPr>
    <w:rPr>
      <w:rFonts w:ascii="Times New Roman" w:eastAsia="Times New Roman" w:hAnsi="Times New Roman" w:cs="Times New Roman"/>
      <w:sz w:val="24"/>
      <w:szCs w:val="24"/>
    </w:rPr>
  </w:style>
  <w:style w:type="paragraph" w:customStyle="1" w:styleId="redaliapuces0">
    <w:name w:val="redaliapuces"/>
    <w:basedOn w:val="Normal"/>
    <w:pPr>
      <w:widowControl/>
      <w:spacing w:before="100" w:after="100"/>
    </w:pPr>
    <w:rPr>
      <w:rFonts w:ascii="Times New Roman" w:eastAsia="Times New Roman" w:hAnsi="Times New Roman" w:cs="Times New Roman"/>
      <w:sz w:val="24"/>
      <w:szCs w:val="24"/>
    </w:rPr>
  </w:style>
  <w:style w:type="paragraph" w:customStyle="1" w:styleId="rdaliaretraitniveau10">
    <w:name w:val="rdaliaretraitniveau1"/>
    <w:basedOn w:val="Normal"/>
    <w:pPr>
      <w:widowControl/>
      <w:spacing w:before="100" w:after="100"/>
    </w:pPr>
    <w:rPr>
      <w:rFonts w:ascii="Times New Roman" w:eastAsia="Times New Roman" w:hAnsi="Times New Roman" w:cs="Times New Roman"/>
      <w:sz w:val="24"/>
      <w:szCs w:val="24"/>
    </w:rPr>
  </w:style>
  <w:style w:type="paragraph" w:styleId="Sansinterligne">
    <w:name w:val="No Spacing"/>
    <w:pPr>
      <w:suppressAutoHyphens/>
    </w:pPr>
    <w:rPr>
      <w:rFonts w:ascii="Arial" w:eastAsia="Arial" w:hAnsi="Arial" w:cs="Arial"/>
      <w:sz w:val="22"/>
      <w:szCs w:val="22"/>
      <w:lang w:eastAsia="en-US"/>
    </w:rPr>
  </w:style>
  <w:style w:type="paragraph" w:styleId="Paragraphedeliste">
    <w:name w:val="List Paragraph"/>
    <w:basedOn w:val="Normal"/>
    <w:pPr>
      <w:ind w:left="720"/>
    </w:p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widowControl w:val="0"/>
      <w:suppressLineNumbers/>
    </w:pPr>
  </w:style>
  <w:style w:type="paragraph" w:customStyle="1" w:styleId="Textbody">
    <w:name w:val="Text body"/>
    <w:basedOn w:val="Standard"/>
    <w:pPr>
      <w:spacing w:after="140" w:line="276" w:lineRule="auto"/>
    </w:pPr>
  </w:style>
  <w:style w:type="character" w:customStyle="1" w:styleId="Titre1Car">
    <w:name w:val="Titre 1 Car"/>
    <w:rPr>
      <w:rFonts w:ascii="Arial" w:eastAsia="Arial" w:hAnsi="Arial" w:cs="Arial"/>
      <w:b/>
      <w:kern w:val="3"/>
      <w:sz w:val="32"/>
    </w:rPr>
  </w:style>
  <w:style w:type="character" w:customStyle="1" w:styleId="Titre2Car">
    <w:name w:val="Titre 2 Car"/>
    <w:rPr>
      <w:rFonts w:ascii="Arial" w:eastAsia="Arial" w:hAnsi="Arial" w:cs="Arial"/>
      <w:sz w:val="28"/>
      <w:u w:val="single"/>
    </w:rPr>
  </w:style>
  <w:style w:type="character" w:customStyle="1" w:styleId="Titre3Car">
    <w:name w:val="Titre 3 Car"/>
    <w:rPr>
      <w:rFonts w:ascii="Arial" w:eastAsia="Arial" w:hAnsi="Arial" w:cs="Arial"/>
      <w:sz w:val="24"/>
      <w:u w:val="single"/>
    </w:rPr>
  </w:style>
  <w:style w:type="character" w:customStyle="1" w:styleId="Titre4Car">
    <w:name w:val="Titre 4 Car"/>
    <w:rPr>
      <w:rFonts w:ascii="Arial" w:eastAsia="Arial" w:hAnsi="Arial" w:cs="Arial"/>
      <w:i/>
      <w:sz w:val="24"/>
    </w:rPr>
  </w:style>
  <w:style w:type="character" w:customStyle="1" w:styleId="Titre5Car">
    <w:name w:val="Titre 5 Car"/>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Calibri Light" w:eastAsia="Calibri Light" w:hAnsi="Calibri Light" w:cs="Times New Roman"/>
      <w:i/>
      <w:color w:val="404040"/>
      <w:sz w:val="22"/>
      <w:lang w:eastAsia="en-US"/>
    </w:rPr>
  </w:style>
  <w:style w:type="character" w:customStyle="1" w:styleId="Titre8Car">
    <w:name w:val="Titre 8 Car"/>
    <w:basedOn w:val="Policepardfaut"/>
    <w:rPr>
      <w:rFonts w:ascii="Calibri Light" w:eastAsia="Calibri Light" w:hAnsi="Calibri Light" w:cs="Times New Roman"/>
      <w:color w:val="404040"/>
      <w:lang w:eastAsia="en-US"/>
    </w:rPr>
  </w:style>
  <w:style w:type="character" w:customStyle="1" w:styleId="Titre9Car">
    <w:name w:val="Titre 9 Car"/>
    <w:basedOn w:val="Policepardfaut"/>
    <w:rPr>
      <w:rFonts w:ascii="Calibri Light" w:eastAsia="Calibri Light" w:hAnsi="Calibri Light" w:cs="Times New Roman"/>
      <w:i/>
      <w:color w:val="404040"/>
      <w:lang w:eastAsia="en-US"/>
    </w:rPr>
  </w:style>
  <w:style w:type="character" w:styleId="Lienhypertexte">
    <w:name w:val="Hyperlink"/>
    <w:basedOn w:val="Policepardfaut"/>
    <w:rPr>
      <w:rFonts w:cs="Times New Roman"/>
      <w:color w:val="003366"/>
      <w:u w:val="non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customStyle="1" w:styleId="AvecPuceCar">
    <w:name w:val="Avec Puce Car"/>
    <w:rPr>
      <w:sz w:val="24"/>
      <w:lang w:val="fr-FR" w:eastAsia="fr-FR"/>
    </w:rPr>
  </w:style>
  <w:style w:type="character" w:customStyle="1" w:styleId="CommentaireCar">
    <w:name w:val="Commentaire Car"/>
    <w:basedOn w:val="Policepardfaut"/>
    <w:rPr>
      <w:rFonts w:cs="Times New Roman"/>
      <w:sz w:val="20"/>
    </w:rPr>
  </w:style>
  <w:style w:type="character" w:customStyle="1" w:styleId="CorpsdetexteCar">
    <w:name w:val="Corps de texte Car"/>
    <w:basedOn w:val="Policepardfaut"/>
    <w:rPr>
      <w:rFonts w:cs="Times New Roman"/>
      <w:sz w:val="20"/>
    </w:rPr>
  </w:style>
  <w:style w:type="character" w:customStyle="1" w:styleId="Corpsdetexte2Car">
    <w:name w:val="Corps de texte 2 Car"/>
    <w:basedOn w:val="Policepardfaut"/>
    <w:rPr>
      <w:rFonts w:cs="Times New Roman"/>
      <w:sz w:val="20"/>
    </w:rPr>
  </w:style>
  <w:style w:type="character" w:customStyle="1" w:styleId="Corpsdetexte3Car">
    <w:name w:val="Corps de texte 3 Car"/>
    <w:basedOn w:val="Policepardfaut"/>
    <w:rPr>
      <w:rFonts w:cs="Times New Roman"/>
      <w:sz w:val="16"/>
    </w:rPr>
  </w:style>
  <w:style w:type="character" w:styleId="Lienhypertextesuivivisit">
    <w:name w:val="FollowedHyperlink"/>
    <w:basedOn w:val="Policepardfaut"/>
    <w:rPr>
      <w:rFonts w:cs="Times New Roman"/>
      <w:color w:val="800080"/>
      <w:u w:val="single"/>
    </w:rPr>
  </w:style>
  <w:style w:type="character" w:styleId="Marquedecommentaire">
    <w:name w:val="annotation reference"/>
    <w:basedOn w:val="Policepardfaut"/>
    <w:rPr>
      <w:rFonts w:cs="Times New Roman"/>
      <w:sz w:val="16"/>
    </w:rPr>
  </w:style>
  <w:style w:type="character" w:styleId="Numrodepage">
    <w:name w:val="page number"/>
    <w:rPr>
      <w:rFonts w:ascii="Times New Roman" w:eastAsia="Times New Roman" w:hAnsi="Times New Roman" w:cs="Times New Roman"/>
    </w:rPr>
  </w:style>
  <w:style w:type="character" w:customStyle="1" w:styleId="RetraitcorpsdetexteCar">
    <w:name w:val="Retrait corps de texte Car"/>
    <w:basedOn w:val="Policepardfaut"/>
    <w:rPr>
      <w:rFonts w:cs="Times New Roman"/>
      <w:sz w:val="20"/>
    </w:rPr>
  </w:style>
  <w:style w:type="character" w:customStyle="1" w:styleId="StyleAvecPuceGrasCar">
    <w:name w:val="Style Avec Puce + Gras Car"/>
    <w:rPr>
      <w:b/>
      <w:sz w:val="24"/>
      <w:lang w:val="fr-FR" w:eastAsia="fr-FR"/>
    </w:rPr>
  </w:style>
  <w:style w:type="character" w:customStyle="1" w:styleId="TextedebullesCar">
    <w:name w:val="Texte de bulles Car"/>
    <w:basedOn w:val="Policepardfaut"/>
    <w:rPr>
      <w:rFonts w:ascii="Tahoma" w:eastAsia="Tahoma" w:hAnsi="Tahoma" w:cs="Times New Roman"/>
      <w:sz w:val="16"/>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DateCar">
    <w:name w:val="Date Car"/>
    <w:rPr>
      <w:color w:val="000000"/>
      <w:kern w:val="3"/>
      <w:lang w:eastAsia="en-US"/>
    </w:rPr>
  </w:style>
  <w:style w:type="character" w:customStyle="1" w:styleId="IconeWeb">
    <w:name w:val="IconeWeb"/>
    <w:rPr>
      <w:rFonts w:ascii="Webdings" w:eastAsia="Webdings" w:hAnsi="Webdings" w:cs="Webdings"/>
    </w:rPr>
  </w:style>
  <w:style w:type="character" w:customStyle="1" w:styleId="EmailStyle175">
    <w:name w:val="EmailStyle175"/>
    <w:rPr>
      <w:rFonts w:ascii="Century Gothic" w:eastAsia="Century Gothic" w:hAnsi="Century Gothic" w:cs="Century Gothic"/>
      <w:color w:val="auto"/>
      <w:sz w:val="20"/>
    </w:rPr>
  </w:style>
  <w:style w:type="character" w:customStyle="1" w:styleId="EmailStyle176">
    <w:name w:val="EmailStyle176"/>
    <w:rPr>
      <w:rFonts w:ascii="Arial" w:eastAsia="Arial" w:hAnsi="Arial" w:cs="Arial"/>
      <w:color w:val="auto"/>
      <w:sz w:val="16"/>
    </w:rPr>
  </w:style>
  <w:style w:type="character" w:customStyle="1" w:styleId="EmailStyle177">
    <w:name w:val="EmailStyle177"/>
    <w:rPr>
      <w:rFonts w:ascii="Century Gothic" w:eastAsia="Century Gothic" w:hAnsi="Century Gothic" w:cs="Century Gothic"/>
      <w:color w:val="auto"/>
      <w:sz w:val="20"/>
    </w:rPr>
  </w:style>
  <w:style w:type="character" w:customStyle="1" w:styleId="EmailStyle178">
    <w:name w:val="EmailStyle178"/>
    <w:rPr>
      <w:rFonts w:ascii="Arial" w:eastAsia="Arial" w:hAnsi="Arial" w:cs="Arial"/>
      <w:color w:val="auto"/>
      <w:sz w:val="16"/>
    </w:rPr>
  </w:style>
  <w:style w:type="character" w:customStyle="1" w:styleId="EmailStyle179">
    <w:name w:val="EmailStyle179"/>
    <w:rPr>
      <w:rFonts w:ascii="Century Gothic" w:eastAsia="Century Gothic" w:hAnsi="Century Gothic" w:cs="Century Gothic"/>
      <w:color w:val="auto"/>
      <w:sz w:val="20"/>
    </w:rPr>
  </w:style>
  <w:style w:type="character" w:customStyle="1" w:styleId="EmailStyle180">
    <w:name w:val="EmailStyle180"/>
    <w:rPr>
      <w:rFonts w:ascii="Arial" w:eastAsia="Arial" w:hAnsi="Arial" w:cs="Arial"/>
      <w:color w:val="auto"/>
      <w:sz w:val="16"/>
    </w:rPr>
  </w:style>
  <w:style w:type="character" w:customStyle="1" w:styleId="EmailStyle181">
    <w:name w:val="EmailStyle181"/>
    <w:rPr>
      <w:rFonts w:ascii="Century Gothic" w:eastAsia="Century Gothic" w:hAnsi="Century Gothic" w:cs="Century Gothic"/>
      <w:color w:val="auto"/>
      <w:sz w:val="20"/>
    </w:rPr>
  </w:style>
  <w:style w:type="character" w:customStyle="1" w:styleId="EmailStyle182">
    <w:name w:val="EmailStyle182"/>
    <w:rPr>
      <w:rFonts w:ascii="Arial" w:eastAsia="Arial" w:hAnsi="Arial" w:cs="Arial"/>
      <w:color w:val="auto"/>
      <w:sz w:val="16"/>
    </w:rPr>
  </w:style>
  <w:style w:type="character" w:customStyle="1" w:styleId="EmailStyle183">
    <w:name w:val="EmailStyle183"/>
    <w:rPr>
      <w:rFonts w:ascii="Century Gothic" w:eastAsia="Century Gothic" w:hAnsi="Century Gothic" w:cs="Century Gothic"/>
      <w:color w:val="auto"/>
      <w:sz w:val="20"/>
    </w:rPr>
  </w:style>
  <w:style w:type="character" w:customStyle="1" w:styleId="EmailStyle184">
    <w:name w:val="EmailStyle184"/>
    <w:rPr>
      <w:rFonts w:ascii="Arial" w:eastAsia="Arial" w:hAnsi="Arial" w:cs="Arial"/>
      <w:color w:val="auto"/>
      <w:sz w:val="16"/>
    </w:rPr>
  </w:style>
  <w:style w:type="character" w:customStyle="1" w:styleId="EmailStyle185">
    <w:name w:val="EmailStyle185"/>
    <w:rPr>
      <w:rFonts w:ascii="Century Gothic" w:eastAsia="Century Gothic" w:hAnsi="Century Gothic" w:cs="Century Gothic"/>
      <w:color w:val="auto"/>
      <w:sz w:val="20"/>
    </w:rPr>
  </w:style>
  <w:style w:type="character" w:customStyle="1" w:styleId="EmailStyle186">
    <w:name w:val="EmailStyle186"/>
    <w:rPr>
      <w:rFonts w:ascii="Arial" w:eastAsia="Arial" w:hAnsi="Arial" w:cs="Arial"/>
      <w:color w:val="auto"/>
      <w:sz w:val="16"/>
    </w:rPr>
  </w:style>
  <w:style w:type="character" w:customStyle="1" w:styleId="EmailStyle187">
    <w:name w:val="EmailStyle187"/>
    <w:rPr>
      <w:rFonts w:ascii="Century Gothic" w:eastAsia="Century Gothic" w:hAnsi="Century Gothic" w:cs="Century Gothic"/>
      <w:color w:val="auto"/>
      <w:sz w:val="20"/>
    </w:rPr>
  </w:style>
  <w:style w:type="character" w:customStyle="1" w:styleId="EmailStyle188">
    <w:name w:val="EmailStyle188"/>
    <w:rPr>
      <w:rFonts w:ascii="Arial" w:eastAsia="Arial" w:hAnsi="Arial" w:cs="Arial"/>
      <w:color w:val="auto"/>
      <w:sz w:val="16"/>
    </w:rPr>
  </w:style>
  <w:style w:type="character" w:customStyle="1" w:styleId="EmailStyle189">
    <w:name w:val="EmailStyle189"/>
    <w:rPr>
      <w:rFonts w:ascii="Century Gothic" w:eastAsia="Century Gothic" w:hAnsi="Century Gothic" w:cs="Century Gothic"/>
      <w:color w:val="auto"/>
      <w:sz w:val="20"/>
    </w:rPr>
  </w:style>
  <w:style w:type="character" w:customStyle="1" w:styleId="EmailStyle190">
    <w:name w:val="EmailStyle190"/>
    <w:rPr>
      <w:rFonts w:ascii="Arial" w:eastAsia="Arial" w:hAnsi="Arial" w:cs="Arial"/>
      <w:color w:val="auto"/>
      <w:sz w:val="16"/>
    </w:rPr>
  </w:style>
  <w:style w:type="character" w:customStyle="1" w:styleId="EmailStyle191">
    <w:name w:val="EmailStyle191"/>
    <w:rPr>
      <w:rFonts w:ascii="Century Gothic" w:eastAsia="Century Gothic" w:hAnsi="Century Gothic" w:cs="Century Gothic"/>
      <w:color w:val="auto"/>
      <w:sz w:val="20"/>
    </w:rPr>
  </w:style>
  <w:style w:type="character" w:customStyle="1" w:styleId="EmailStyle192">
    <w:name w:val="EmailStyle192"/>
    <w:rPr>
      <w:rFonts w:ascii="Arial" w:eastAsia="Arial" w:hAnsi="Arial" w:cs="Arial"/>
      <w:color w:val="auto"/>
      <w:sz w:val="16"/>
    </w:rPr>
  </w:style>
  <w:style w:type="character" w:customStyle="1" w:styleId="EmailStyle193">
    <w:name w:val="EmailStyle193"/>
    <w:rPr>
      <w:rFonts w:ascii="Century Gothic" w:eastAsia="Century Gothic" w:hAnsi="Century Gothic" w:cs="Century Gothic"/>
      <w:color w:val="auto"/>
      <w:sz w:val="20"/>
    </w:rPr>
  </w:style>
  <w:style w:type="character" w:customStyle="1" w:styleId="EmailStyle194">
    <w:name w:val="EmailStyle194"/>
    <w:rPr>
      <w:rFonts w:ascii="Arial" w:eastAsia="Arial" w:hAnsi="Arial" w:cs="Arial"/>
      <w:color w:val="auto"/>
      <w:sz w:val="16"/>
    </w:rPr>
  </w:style>
  <w:style w:type="character" w:customStyle="1" w:styleId="EmailStyle195">
    <w:name w:val="EmailStyle195"/>
    <w:rPr>
      <w:rFonts w:ascii="Century Gothic" w:eastAsia="Century Gothic" w:hAnsi="Century Gothic" w:cs="Century Gothic"/>
      <w:color w:val="auto"/>
      <w:sz w:val="20"/>
    </w:rPr>
  </w:style>
  <w:style w:type="character" w:customStyle="1" w:styleId="EmailStyle196">
    <w:name w:val="EmailStyle196"/>
    <w:rPr>
      <w:rFonts w:ascii="Arial" w:eastAsia="Arial" w:hAnsi="Arial" w:cs="Arial"/>
      <w:color w:val="auto"/>
      <w:sz w:val="16"/>
    </w:rPr>
  </w:style>
  <w:style w:type="character" w:customStyle="1" w:styleId="EmailStyle197">
    <w:name w:val="EmailStyle197"/>
    <w:rPr>
      <w:rFonts w:ascii="Century Gothic" w:eastAsia="Century Gothic" w:hAnsi="Century Gothic" w:cs="Century Gothic"/>
      <w:color w:val="auto"/>
      <w:sz w:val="20"/>
    </w:rPr>
  </w:style>
  <w:style w:type="character" w:customStyle="1" w:styleId="EmailStyle198">
    <w:name w:val="EmailStyle198"/>
    <w:rPr>
      <w:rFonts w:ascii="Arial" w:eastAsia="Arial" w:hAnsi="Arial" w:cs="Arial"/>
      <w:color w:val="auto"/>
      <w:sz w:val="16"/>
    </w:rPr>
  </w:style>
  <w:style w:type="character" w:customStyle="1" w:styleId="EmailStyle199">
    <w:name w:val="EmailStyle199"/>
    <w:rPr>
      <w:rFonts w:ascii="Century Gothic" w:eastAsia="Century Gothic" w:hAnsi="Century Gothic" w:cs="Century Gothic"/>
      <w:color w:val="auto"/>
      <w:sz w:val="20"/>
    </w:rPr>
  </w:style>
  <w:style w:type="character" w:customStyle="1" w:styleId="EmailStyle200">
    <w:name w:val="EmailStyle200"/>
    <w:rPr>
      <w:rFonts w:ascii="Arial" w:eastAsia="Arial" w:hAnsi="Arial" w:cs="Arial"/>
      <w:color w:val="auto"/>
      <w:sz w:val="16"/>
    </w:rPr>
  </w:style>
  <w:style w:type="character" w:customStyle="1" w:styleId="EmailStyle201">
    <w:name w:val="EmailStyle201"/>
    <w:rPr>
      <w:rFonts w:ascii="Century Gothic" w:eastAsia="Century Gothic" w:hAnsi="Century Gothic" w:cs="Century Gothic"/>
      <w:color w:val="auto"/>
      <w:sz w:val="20"/>
    </w:rPr>
  </w:style>
  <w:style w:type="character" w:customStyle="1" w:styleId="EmailStyle202">
    <w:name w:val="EmailStyle202"/>
    <w:rPr>
      <w:rFonts w:ascii="Arial" w:eastAsia="Arial" w:hAnsi="Arial" w:cs="Arial"/>
      <w:color w:val="auto"/>
      <w:sz w:val="16"/>
    </w:rPr>
  </w:style>
  <w:style w:type="character" w:customStyle="1" w:styleId="EmailStyle203">
    <w:name w:val="EmailStyle203"/>
    <w:rPr>
      <w:rFonts w:ascii="Century Gothic" w:eastAsia="Century Gothic" w:hAnsi="Century Gothic" w:cs="Century Gothic"/>
      <w:color w:val="auto"/>
      <w:sz w:val="20"/>
    </w:rPr>
  </w:style>
  <w:style w:type="character" w:customStyle="1" w:styleId="EmailStyle204">
    <w:name w:val="EmailStyle204"/>
    <w:rPr>
      <w:rFonts w:ascii="Arial" w:eastAsia="Arial" w:hAnsi="Arial" w:cs="Arial"/>
      <w:color w:val="auto"/>
      <w:sz w:val="16"/>
    </w:rPr>
  </w:style>
  <w:style w:type="character" w:customStyle="1" w:styleId="EmailStyle205">
    <w:name w:val="EmailStyle205"/>
    <w:rPr>
      <w:rFonts w:ascii="Century Gothic" w:eastAsia="Century Gothic" w:hAnsi="Century Gothic" w:cs="Century Gothic"/>
      <w:color w:val="auto"/>
      <w:sz w:val="20"/>
    </w:rPr>
  </w:style>
  <w:style w:type="character" w:customStyle="1" w:styleId="EmailStyle206">
    <w:name w:val="EmailStyle206"/>
    <w:rPr>
      <w:rFonts w:ascii="Arial" w:eastAsia="Arial" w:hAnsi="Arial" w:cs="Arial"/>
      <w:color w:val="auto"/>
      <w:sz w:val="16"/>
    </w:rPr>
  </w:style>
  <w:style w:type="character" w:customStyle="1" w:styleId="EmailStyle207">
    <w:name w:val="EmailStyle207"/>
    <w:rPr>
      <w:rFonts w:ascii="Century Gothic" w:eastAsia="Century Gothic" w:hAnsi="Century Gothic" w:cs="Century Gothic"/>
      <w:color w:val="auto"/>
      <w:sz w:val="20"/>
    </w:rPr>
  </w:style>
  <w:style w:type="character" w:customStyle="1" w:styleId="EmailStyle208">
    <w:name w:val="EmailStyle208"/>
    <w:rPr>
      <w:rFonts w:ascii="Arial" w:eastAsia="Arial" w:hAnsi="Arial" w:cs="Arial"/>
      <w:color w:val="auto"/>
      <w:sz w:val="16"/>
    </w:rPr>
  </w:style>
  <w:style w:type="character" w:customStyle="1" w:styleId="EmailStyle209">
    <w:name w:val="EmailStyle209"/>
    <w:rPr>
      <w:rFonts w:ascii="Century Gothic" w:eastAsia="Century Gothic" w:hAnsi="Century Gothic" w:cs="Century Gothic"/>
      <w:color w:val="auto"/>
      <w:sz w:val="20"/>
    </w:rPr>
  </w:style>
  <w:style w:type="character" w:customStyle="1" w:styleId="EmailStyle210">
    <w:name w:val="EmailStyle210"/>
    <w:rPr>
      <w:rFonts w:ascii="Arial" w:eastAsia="Arial" w:hAnsi="Arial" w:cs="Arial"/>
      <w:color w:val="auto"/>
      <w:sz w:val="16"/>
    </w:rPr>
  </w:style>
  <w:style w:type="character" w:customStyle="1" w:styleId="EmailStyle211">
    <w:name w:val="EmailStyle211"/>
    <w:rPr>
      <w:rFonts w:ascii="Century Gothic" w:eastAsia="Century Gothic" w:hAnsi="Century Gothic" w:cs="Century Gothic"/>
      <w:color w:val="auto"/>
      <w:sz w:val="20"/>
    </w:rPr>
  </w:style>
  <w:style w:type="character" w:customStyle="1" w:styleId="EmailStyle212">
    <w:name w:val="EmailStyle212"/>
    <w:rPr>
      <w:rFonts w:ascii="Arial" w:eastAsia="Arial" w:hAnsi="Arial" w:cs="Arial"/>
      <w:color w:val="auto"/>
      <w:sz w:val="16"/>
    </w:rPr>
  </w:style>
  <w:style w:type="character" w:customStyle="1" w:styleId="EmailStyle213">
    <w:name w:val="EmailStyle213"/>
    <w:rPr>
      <w:rFonts w:ascii="Century Gothic" w:eastAsia="Century Gothic" w:hAnsi="Century Gothic" w:cs="Century Gothic"/>
      <w:color w:val="auto"/>
      <w:sz w:val="20"/>
    </w:rPr>
  </w:style>
  <w:style w:type="character" w:customStyle="1" w:styleId="EmailStyle214">
    <w:name w:val="EmailStyle214"/>
    <w:rPr>
      <w:rFonts w:ascii="Arial" w:eastAsia="Arial" w:hAnsi="Arial" w:cs="Arial"/>
      <w:color w:val="auto"/>
      <w:sz w:val="16"/>
    </w:rPr>
  </w:style>
  <w:style w:type="character" w:customStyle="1" w:styleId="EmailStyle215">
    <w:name w:val="EmailStyle215"/>
    <w:rPr>
      <w:rFonts w:ascii="Century Gothic" w:eastAsia="Century Gothic" w:hAnsi="Century Gothic" w:cs="Century Gothic"/>
      <w:color w:val="auto"/>
      <w:sz w:val="20"/>
    </w:rPr>
  </w:style>
  <w:style w:type="character" w:customStyle="1" w:styleId="EmailStyle216">
    <w:name w:val="EmailStyle216"/>
    <w:rPr>
      <w:rFonts w:ascii="Arial" w:eastAsia="Arial" w:hAnsi="Arial" w:cs="Arial"/>
      <w:color w:val="auto"/>
      <w:sz w:val="16"/>
    </w:rPr>
  </w:style>
  <w:style w:type="character" w:customStyle="1" w:styleId="EmailStyle217">
    <w:name w:val="EmailStyle217"/>
    <w:rPr>
      <w:rFonts w:ascii="Century Gothic" w:eastAsia="Century Gothic" w:hAnsi="Century Gothic" w:cs="Century Gothic"/>
      <w:color w:val="auto"/>
      <w:sz w:val="20"/>
    </w:rPr>
  </w:style>
  <w:style w:type="character" w:customStyle="1" w:styleId="EmailStyle218">
    <w:name w:val="EmailStyle218"/>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customStyle="1" w:styleId="Sous-titreCar">
    <w:name w:val="Sous-titre Car"/>
    <w:basedOn w:val="Policepardfaut"/>
    <w:rPr>
      <w:rFonts w:ascii="Arial" w:eastAsia="Arial" w:hAnsi="Arial" w:cs="Times New Roman"/>
      <w:color w:val="5A5A5A"/>
      <w:spacing w:val="15"/>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styleId="lev">
    <w:name w:val="Strong"/>
    <w:basedOn w:val="Policepardfaut"/>
    <w:rPr>
      <w:rFonts w:ascii="Arial" w:eastAsia="Arial" w:hAnsi="Arial" w:cs="Times New Roman"/>
      <w:b/>
    </w:rPr>
  </w:style>
  <w:style w:type="character" w:customStyle="1" w:styleId="CitationCar">
    <w:name w:val="Citation Car"/>
    <w:basedOn w:val="Policepardfaut"/>
    <w:rPr>
      <w:rFonts w:ascii="Arial" w:eastAsia="Arial" w:hAnsi="Arial" w:cs="Times New Roman"/>
      <w:i/>
      <w:color w:val="404040"/>
      <w:sz w:val="22"/>
      <w:lang w:eastAsia="en-US"/>
    </w:rPr>
  </w:style>
  <w:style w:type="character" w:customStyle="1" w:styleId="CitationintenseCar">
    <w:name w:val="Citation intense Car"/>
    <w:basedOn w:val="Policepardfaut"/>
    <w:rPr>
      <w:rFonts w:ascii="Arial" w:eastAsia="Arial" w:hAnsi="Arial" w:cs="Times New Roman"/>
      <w:i/>
      <w:color w:val="4472C4"/>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b/>
      <w:bCs/>
      <w:kern w:val="3"/>
      <w:lang w:eastAsia="en-US"/>
    </w:rPr>
  </w:style>
  <w:style w:type="character" w:customStyle="1" w:styleId="En-tteCar1">
    <w:name w:val="En-tête Car1"/>
    <w:rPr>
      <w:kern w:val="3"/>
      <w:lang w:eastAsia="en-US"/>
    </w:rPr>
  </w:style>
  <w:style w:type="character" w:customStyle="1" w:styleId="PieddepageCar1">
    <w:name w:val="Pied de page Car1"/>
    <w:rPr>
      <w:kern w:val="3"/>
      <w:lang w:eastAsia="en-US"/>
    </w:rPr>
  </w:style>
  <w:style w:type="character" w:customStyle="1" w:styleId="Internetlink">
    <w:name w:val="Internet link"/>
    <w:rPr>
      <w:color w:val="000080"/>
      <w:u w:val="single"/>
      <w:lang/>
    </w:rPr>
  </w:style>
  <w:style w:type="character" w:customStyle="1" w:styleId="IndexLink">
    <w:name w:val="Index Link"/>
  </w:style>
  <w:style w:type="numbering" w:customStyle="1" w:styleId="LFO26">
    <w:name w:val="LFO26"/>
    <w:basedOn w:val="Aucuneliste"/>
    <w:pPr>
      <w:numPr>
        <w:numId w:val="2"/>
      </w:numPr>
    </w:pPr>
  </w:style>
  <w:style w:type="numbering" w:customStyle="1" w:styleId="LFO22">
    <w:name w:val="LFO22"/>
    <w:basedOn w:val="Aucuneliste"/>
    <w:pPr>
      <w:numPr>
        <w:numId w:val="3"/>
      </w:numPr>
    </w:pPr>
  </w:style>
  <w:style w:type="numbering" w:customStyle="1" w:styleId="LFO23">
    <w:name w:val="LFO23"/>
    <w:basedOn w:val="Aucuneliste"/>
    <w:pPr>
      <w:numPr>
        <w:numId w:val="4"/>
      </w:numPr>
    </w:pPr>
  </w:style>
  <w:style w:type="numbering" w:customStyle="1" w:styleId="LFO24">
    <w:name w:val="LFO24"/>
    <w:basedOn w:val="Aucuneliste"/>
    <w:pPr>
      <w:numPr>
        <w:numId w:val="5"/>
      </w:numPr>
    </w:pPr>
  </w:style>
  <w:style w:type="numbering" w:customStyle="1" w:styleId="LFO33">
    <w:name w:val="LFO33"/>
    <w:basedOn w:val="Aucuneliste"/>
    <w:pPr>
      <w:numPr>
        <w:numId w:val="6"/>
      </w:numPr>
    </w:pPr>
  </w:style>
  <w:style w:type="numbering" w:customStyle="1" w:styleId="LFO35">
    <w:name w:val="LFO35"/>
    <w:basedOn w:val="Aucuneliste"/>
    <w:pPr>
      <w:numPr>
        <w:numId w:val="7"/>
      </w:numPr>
    </w:pPr>
  </w:style>
  <w:style w:type="numbering" w:customStyle="1" w:styleId="WWOutlineListStyle">
    <w:name w:val="WW_OutlineListStyle"/>
    <w:basedOn w:val="Aucuneliste"/>
    <w:pPr>
      <w:numPr>
        <w:numId w:val="8"/>
      </w:numPr>
    </w:pPr>
  </w:style>
  <w:style w:type="numbering" w:customStyle="1" w:styleId="LFO25">
    <w:name w:val="LFO25"/>
    <w:basedOn w:val="Aucuneliste"/>
    <w:pPr>
      <w:numPr>
        <w:numId w:val="9"/>
      </w:numPr>
    </w:pPr>
  </w:style>
  <w:style w:type="numbering" w:customStyle="1" w:styleId="LFO1">
    <w:name w:val="LFO1"/>
    <w:basedOn w:val="Aucuneliste"/>
    <w:pPr>
      <w:numPr>
        <w:numId w:val="10"/>
      </w:numPr>
    </w:pPr>
  </w:style>
  <w:style w:type="numbering" w:customStyle="1" w:styleId="LFO4">
    <w:name w:val="LFO4"/>
    <w:basedOn w:val="Aucuneliste"/>
    <w:pPr>
      <w:numPr>
        <w:numId w:val="11"/>
      </w:numPr>
    </w:pPr>
  </w:style>
  <w:style w:type="numbering" w:customStyle="1" w:styleId="LFO5">
    <w:name w:val="LFO5"/>
    <w:basedOn w:val="Aucuneliste"/>
    <w:pPr>
      <w:numPr>
        <w:numId w:val="12"/>
      </w:numPr>
    </w:pPr>
  </w:style>
  <w:style w:type="numbering" w:customStyle="1" w:styleId="LFO18">
    <w:name w:val="LFO18"/>
    <w:basedOn w:val="Aucuneliste"/>
    <w:pPr>
      <w:numPr>
        <w:numId w:val="13"/>
      </w:numPr>
    </w:pPr>
  </w:style>
  <w:style w:type="numbering" w:customStyle="1" w:styleId="LFO20">
    <w:name w:val="LFO20"/>
    <w:basedOn w:val="Aucuneliste"/>
    <w:pPr>
      <w:numPr>
        <w:numId w:val="14"/>
      </w:numPr>
    </w:pPr>
  </w:style>
  <w:style w:type="numbering" w:customStyle="1" w:styleId="LFO21">
    <w:name w:val="LFO21"/>
    <w:basedOn w:val="Aucuneliste"/>
    <w:pPr>
      <w:numPr>
        <w:numId w:val="15"/>
      </w:numPr>
    </w:pPr>
  </w:style>
  <w:style w:type="numbering" w:customStyle="1" w:styleId="LFO221">
    <w:name w:val="LFO22_1"/>
    <w:basedOn w:val="Aucuneliste"/>
    <w:pPr>
      <w:numPr>
        <w:numId w:val="16"/>
      </w:numPr>
    </w:pPr>
  </w:style>
  <w:style w:type="numbering" w:customStyle="1" w:styleId="LFO231">
    <w:name w:val="LFO23_1"/>
    <w:basedOn w:val="Aucuneliste"/>
    <w:pPr>
      <w:numPr>
        <w:numId w:val="17"/>
      </w:numPr>
    </w:pPr>
  </w:style>
  <w:style w:type="numbering" w:customStyle="1" w:styleId="LFO241">
    <w:name w:val="LFO24_1"/>
    <w:basedOn w:val="Aucuneliste"/>
    <w:pPr>
      <w:numPr>
        <w:numId w:val="18"/>
      </w:numPr>
    </w:pPr>
  </w:style>
  <w:style w:type="numbering" w:customStyle="1" w:styleId="LFO28">
    <w:name w:val="LFO28"/>
    <w:basedOn w:val="Aucuneliste"/>
    <w:pPr>
      <w:numPr>
        <w:numId w:val="19"/>
      </w:numPr>
    </w:pPr>
  </w:style>
  <w:style w:type="numbering" w:customStyle="1" w:styleId="LFO29">
    <w:name w:val="LFO29"/>
    <w:basedOn w:val="Aucuneliste"/>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__RefHeading___Toc894_1227691514" TargetMode="External"/><Relationship Id="rId18" Type="http://schemas.openxmlformats.org/officeDocument/2006/relationships/hyperlink" Target="#__RefHeading___Toc904_1227691514" TargetMode="External"/><Relationship Id="rId26" Type="http://schemas.openxmlformats.org/officeDocument/2006/relationships/hyperlink" Target="#__RefHeading___Toc920_1227691514" TargetMode="External"/><Relationship Id="rId39" Type="http://schemas.openxmlformats.org/officeDocument/2006/relationships/theme" Target="theme/theme1.xml"/><Relationship Id="rId21" Type="http://schemas.openxmlformats.org/officeDocument/2006/relationships/hyperlink" Target="#__RefHeading___Toc910_1227691514" TargetMode="External"/><Relationship Id="rId34" Type="http://schemas.openxmlformats.org/officeDocument/2006/relationships/hyperlink" Target="https://www.ssi.gouv.fr/entreprise/reglementation/confiance-numerique/le-reglement-eidas/liste-nationale-de-confiance/" TargetMode="External"/><Relationship Id="rId7" Type="http://schemas.openxmlformats.org/officeDocument/2006/relationships/image" Target="media/image1.jpeg"/><Relationship Id="rId12" Type="http://schemas.openxmlformats.org/officeDocument/2006/relationships/hyperlink" Target="#__RefHeading___Toc892_1227691514" TargetMode="External"/><Relationship Id="rId17" Type="http://schemas.openxmlformats.org/officeDocument/2006/relationships/hyperlink" Target="#__RefHeading___Toc902_1227691514" TargetMode="External"/><Relationship Id="rId25" Type="http://schemas.openxmlformats.org/officeDocument/2006/relationships/hyperlink" Target="#__RefHeading___Toc918_1227691514" TargetMode="External"/><Relationship Id="rId33" Type="http://schemas.openxmlformats.org/officeDocument/2006/relationships/hyperlink" Target="https://dume.chorus-pro.gouv.fr/#/"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__RefHeading___Toc900_1227691514" TargetMode="External"/><Relationship Id="rId20" Type="http://schemas.openxmlformats.org/officeDocument/2006/relationships/hyperlink" Target="#__RefHeading___Toc908_1227691514" TargetMode="External"/><Relationship Id="rId29" Type="http://schemas.openxmlformats.org/officeDocument/2006/relationships/hyperlink" Target="#__RefHeading___Toc926_12276915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__RefHeading___Toc890_1227691514" TargetMode="External"/><Relationship Id="rId24" Type="http://schemas.openxmlformats.org/officeDocument/2006/relationships/hyperlink" Target="#__RefHeading___Toc916_1227691514" TargetMode="External"/><Relationship Id="rId32" Type="http://schemas.openxmlformats.org/officeDocument/2006/relationships/hyperlink" Target="https://dume.chorus-pro.gouv.fr/"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__RefHeading___Toc898_1227691514" TargetMode="External"/><Relationship Id="rId23" Type="http://schemas.openxmlformats.org/officeDocument/2006/relationships/hyperlink" Target="#__RefHeading___Toc914_1227691514" TargetMode="External"/><Relationship Id="rId28" Type="http://schemas.openxmlformats.org/officeDocument/2006/relationships/hyperlink" Target="#__RefHeading___Toc924_1227691514" TargetMode="External"/><Relationship Id="rId36" Type="http://schemas.openxmlformats.org/officeDocument/2006/relationships/header" Target="header1.xml"/><Relationship Id="rId10" Type="http://schemas.openxmlformats.org/officeDocument/2006/relationships/hyperlink" Target="#__RefHeading___Toc888_1227691514" TargetMode="External"/><Relationship Id="rId19" Type="http://schemas.openxmlformats.org/officeDocument/2006/relationships/hyperlink" Target="#__RefHeading___Toc906_1227691514" TargetMode="External"/><Relationship Id="rId31" Type="http://schemas.openxmlformats.org/officeDocument/2006/relationships/hyperlink" Target="https://ec.europa.eu/tools/espd/" TargetMode="External"/><Relationship Id="rId4" Type="http://schemas.openxmlformats.org/officeDocument/2006/relationships/webSettings" Target="webSettings.xml"/><Relationship Id="rId9" Type="http://schemas.openxmlformats.org/officeDocument/2006/relationships/hyperlink" Target="#__RefHeading___Toc886_1227691514" TargetMode="External"/><Relationship Id="rId14" Type="http://schemas.openxmlformats.org/officeDocument/2006/relationships/hyperlink" Target="#__RefHeading___Toc896_1227691514" TargetMode="External"/><Relationship Id="rId22" Type="http://schemas.openxmlformats.org/officeDocument/2006/relationships/hyperlink" Target="#__RefHeading___Toc912_1227691514" TargetMode="External"/><Relationship Id="rId27" Type="http://schemas.openxmlformats.org/officeDocument/2006/relationships/hyperlink" Target="#__RefHeading___Toc922_1227691514" TargetMode="External"/><Relationship Id="rId30" Type="http://schemas.openxmlformats.org/officeDocument/2006/relationships/hyperlink" Target="#__RefHeading___Toc928_1227691514" TargetMode="External"/><Relationship Id="rId35" Type="http://schemas.openxmlformats.org/officeDocument/2006/relationships/hyperlink" Target="https://esignature.ec.europa.eu/efda/tl-browser/#/screen/tl/FR" TargetMode="External"/><Relationship Id="rId8" Type="http://schemas.openxmlformats.org/officeDocument/2006/relationships/hyperlink" Target="#__RefHeading___Toc884_1227691514" TargetMode="External"/><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prev17233783720484779932.odt/lia.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lia</Template>
  <TotalTime>3</TotalTime>
  <Pages>12</Pages>
  <Words>4104</Words>
  <Characters>22578</Characters>
  <Application>Microsoft Office Word</Application>
  <DocSecurity>0</DocSecurity>
  <Lines>188</Lines>
  <Paragraphs>53</Paragraphs>
  <ScaleCrop>false</ScaleCrop>
  <Company>XL HABITAT</Company>
  <LinksUpToDate>false</LinksUpToDate>
  <CharactersWithSpaces>26629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dc:title>
  <dc:subject/>
  <dc:creator>CEB</dc:creator>
  <dc:description/>
  <cp:lastModifiedBy>Fabien FN. Nadaud</cp:lastModifiedBy>
  <cp:revision>1</cp:revision>
  <dcterms:created xsi:type="dcterms:W3CDTF">2025-03-27T10:30:00Z</dcterms:created>
  <dcterms:modified xsi:type="dcterms:W3CDTF">2026-11-05T11:08:00Z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PresencePrime</vt:lpwstr>
  </property>
  <property fmtid="{D5CDD505-2E9C-101B-9397-08002B2CF9AE}" pid="6" name="ElementPrecedent">
    <vt:lpwstr/>
  </property>
  <property fmtid="{D5CDD505-2E9C-101B-9397-08002B2CF9AE}" pid="7" name="IdentifiantEdition">
    <vt:lpwstr>RC_COM</vt:lpwstr>
  </property>
  <property fmtid="{D5CDD505-2E9C-101B-9397-08002B2CF9AE}" pid="8" name="NomSegment">
    <vt:lpwstr>DomaineTRXetTICetSRV</vt:lpwstr>
  </property>
  <property fmtid="{D5CDD505-2E9C-101B-9397-08002B2CF9AE}" pid="9" name="NouveauElement">
    <vt:lpwstr>DomaineTRXetTIXetSRVetPI</vt:lpwstr>
  </property>
  <property fmtid="{D5CDD505-2E9C-101B-9397-08002B2CF9AE}" pid="10" name="ResultatCommande">
    <vt:lpwstr>Ok</vt:lpwstr>
  </property>
</Properties>
</file>